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71F" w:rsidRPr="00D3771F" w:rsidRDefault="00D3771F" w:rsidP="00D3771F">
      <w:pPr>
        <w:bidi w:val="0"/>
        <w:spacing w:after="0" w:line="240" w:lineRule="auto"/>
        <w:rPr>
          <w:rFonts w:ascii="Times New Roman" w:eastAsia="Times New Roman" w:hAnsi="Times New Roman" w:cs="Times New Roman"/>
          <w:sz w:val="24"/>
          <w:szCs w:val="24"/>
        </w:rPr>
      </w:pPr>
      <w:r w:rsidRPr="00D3771F">
        <w:rPr>
          <w:rFonts w:ascii="Times New Roman" w:eastAsia="Times New Roman" w:hAnsi="Times New Roman" w:cs="Times New Roman"/>
          <w:sz w:val="24"/>
          <w:szCs w:val="24"/>
        </w:rPr>
        <w:fldChar w:fldCharType="begin"/>
      </w:r>
      <w:r w:rsidRPr="00D3771F">
        <w:rPr>
          <w:rFonts w:ascii="Times New Roman" w:eastAsia="Times New Roman" w:hAnsi="Times New Roman" w:cs="Times New Roman"/>
          <w:sz w:val="24"/>
          <w:szCs w:val="24"/>
        </w:rPr>
        <w:instrText xml:space="preserve"> HYPERLINK "http://www.ruling.co.il/%D7%A2%22%D7%90-6900-14-%D7%93%D7%9F-%D7%9C%D7%95%D7%99%D7%98-%D7%A0.-%D7%97%D7%A0%D7%94-%D7%91%D7%A0%D7%91%D7%A0%D7%99%D7%A9%D7%AA%D7%99_272cfda3-1349-8a5f-4b79-6118175d9244" \t "_blank" </w:instrText>
      </w:r>
      <w:r w:rsidRPr="00D3771F">
        <w:rPr>
          <w:rFonts w:ascii="Times New Roman" w:eastAsia="Times New Roman" w:hAnsi="Times New Roman" w:cs="Times New Roman"/>
          <w:sz w:val="24"/>
          <w:szCs w:val="24"/>
        </w:rPr>
        <w:fldChar w:fldCharType="separate"/>
      </w:r>
      <w:r w:rsidRPr="00D3771F">
        <w:rPr>
          <w:rFonts w:ascii="Arial" w:eastAsia="Times New Roman" w:hAnsi="Arial" w:cs="Arial"/>
          <w:color w:val="2200C1"/>
          <w:sz w:val="18"/>
          <w:szCs w:val="18"/>
          <w:u w:val="single"/>
          <w:rtl/>
        </w:rPr>
        <w:t>הדפסה</w:t>
      </w:r>
      <w:r w:rsidRPr="00D3771F">
        <w:rPr>
          <w:rFonts w:ascii="Times New Roman" w:eastAsia="Times New Roman" w:hAnsi="Times New Roman" w:cs="Times New Roman"/>
          <w:sz w:val="24"/>
          <w:szCs w:val="24"/>
        </w:rPr>
        <w:fldChar w:fldCharType="end"/>
      </w:r>
    </w:p>
    <w:p w:rsidR="00D3771F" w:rsidRPr="00D3771F" w:rsidRDefault="00D3771F" w:rsidP="00263F2B">
      <w:pPr>
        <w:shd w:val="clear" w:color="auto" w:fill="F9F9F9"/>
        <w:bidi w:val="0"/>
        <w:spacing w:after="240" w:line="240" w:lineRule="auto"/>
        <w:jc w:val="right"/>
        <w:rPr>
          <w:rFonts w:ascii="Arial" w:eastAsia="Times New Roman" w:hAnsi="Arial" w:cs="Arial"/>
          <w:color w:val="000000"/>
          <w:sz w:val="18"/>
          <w:szCs w:val="18"/>
        </w:rPr>
      </w:pPr>
      <w:hyperlink r:id="rId4" w:history="1">
        <w:r w:rsidRPr="00D3771F">
          <w:rPr>
            <w:rFonts w:ascii="Arial" w:eastAsia="Times New Roman" w:hAnsi="Arial" w:cs="Arial"/>
            <w:color w:val="2200C1"/>
            <w:sz w:val="18"/>
            <w:szCs w:val="18"/>
            <w:u w:val="single"/>
            <w:rtl/>
          </w:rPr>
          <w:t xml:space="preserve">דן </w:t>
        </w:r>
        <w:proofErr w:type="spellStart"/>
        <w:r w:rsidRPr="00D3771F">
          <w:rPr>
            <w:rFonts w:ascii="Arial" w:eastAsia="Times New Roman" w:hAnsi="Arial" w:cs="Arial"/>
            <w:color w:val="2200C1"/>
            <w:sz w:val="18"/>
            <w:szCs w:val="18"/>
            <w:u w:val="single"/>
            <w:rtl/>
          </w:rPr>
          <w:t>לויט</w:t>
        </w:r>
        <w:proofErr w:type="spellEnd"/>
      </w:hyperlink>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tl/>
        </w:rPr>
        <w:t>נגד</w:t>
      </w:r>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Pr>
        <w:br/>
      </w:r>
      <w:hyperlink r:id="rId5" w:history="1">
        <w:r w:rsidRPr="00D3771F">
          <w:rPr>
            <w:rFonts w:ascii="Arial" w:eastAsia="Times New Roman" w:hAnsi="Arial" w:cs="Arial"/>
            <w:color w:val="2200C1"/>
            <w:sz w:val="18"/>
            <w:szCs w:val="18"/>
            <w:u w:val="single"/>
            <w:rtl/>
          </w:rPr>
          <w:t>חנה בנבנישתי</w:t>
        </w:r>
      </w:hyperlink>
    </w:p>
    <w:p w:rsidR="00D3771F" w:rsidRPr="00D3771F" w:rsidRDefault="00D3771F" w:rsidP="00263F2B">
      <w:pPr>
        <w:bidi w:val="0"/>
        <w:spacing w:after="285" w:line="240" w:lineRule="auto"/>
        <w:jc w:val="right"/>
        <w:outlineLvl w:val="0"/>
        <w:rPr>
          <w:rFonts w:ascii="Arial" w:eastAsia="Times New Roman" w:hAnsi="Arial" w:cs="Arial"/>
          <w:b/>
          <w:bCs/>
          <w:color w:val="000000"/>
          <w:kern w:val="36"/>
          <w:sz w:val="33"/>
          <w:szCs w:val="33"/>
        </w:rPr>
      </w:pPr>
      <w:r w:rsidRPr="00D3771F">
        <w:rPr>
          <w:rFonts w:ascii="Arial" w:eastAsia="Times New Roman" w:hAnsi="Arial" w:cs="Arial"/>
          <w:b/>
          <w:bCs/>
          <w:color w:val="000000"/>
          <w:kern w:val="36"/>
          <w:sz w:val="33"/>
          <w:szCs w:val="33"/>
          <w:rtl/>
        </w:rPr>
        <w:t xml:space="preserve">ע"א 6900/14 דן </w:t>
      </w:r>
      <w:proofErr w:type="spellStart"/>
      <w:r w:rsidRPr="00D3771F">
        <w:rPr>
          <w:rFonts w:ascii="Arial" w:eastAsia="Times New Roman" w:hAnsi="Arial" w:cs="Arial"/>
          <w:b/>
          <w:bCs/>
          <w:color w:val="000000"/>
          <w:kern w:val="36"/>
          <w:sz w:val="33"/>
          <w:szCs w:val="33"/>
          <w:rtl/>
        </w:rPr>
        <w:t>לויט</w:t>
      </w:r>
      <w:proofErr w:type="spellEnd"/>
      <w:r w:rsidRPr="00D3771F">
        <w:rPr>
          <w:rFonts w:ascii="Arial" w:eastAsia="Times New Roman" w:hAnsi="Arial" w:cs="Arial"/>
          <w:b/>
          <w:bCs/>
          <w:color w:val="000000"/>
          <w:kern w:val="36"/>
          <w:sz w:val="33"/>
          <w:szCs w:val="33"/>
          <w:rtl/>
        </w:rPr>
        <w:t xml:space="preserve"> נ. חנה בנבנישתי</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פסק-דין בתיק ע"א 6900/14</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בבית המשפט העליון בשבתו כבית משפט לערעורים אזרחיים</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ע"א 6900/14</w:t>
      </w:r>
    </w:p>
    <w:p w:rsidR="00D3771F" w:rsidRPr="00D3771F" w:rsidRDefault="00D3771F" w:rsidP="00263F2B">
      <w:pPr>
        <w:bidi w:val="0"/>
        <w:spacing w:after="0"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לפני</w:t>
      </w:r>
      <w:r w:rsidRPr="00D3771F">
        <w:rPr>
          <w:rFonts w:ascii="Arial" w:eastAsia="Times New Roman" w:hAnsi="Arial" w:cs="Arial"/>
          <w:color w:val="000000"/>
          <w:sz w:val="18"/>
          <w:szCs w:val="18"/>
        </w:rPr>
        <w:t>:</w:t>
      </w:r>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tl/>
        </w:rPr>
        <w:t>כבוד השופטת א' חיות</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כבוד השופט ע' </w:t>
      </w:r>
      <w:proofErr w:type="spellStart"/>
      <w:r w:rsidRPr="00D3771F">
        <w:rPr>
          <w:rFonts w:ascii="Arial" w:eastAsia="Times New Roman" w:hAnsi="Arial" w:cs="Arial"/>
          <w:color w:val="000000"/>
          <w:sz w:val="18"/>
          <w:szCs w:val="18"/>
          <w:rtl/>
        </w:rPr>
        <w:t>פוגלמ</w:t>
      </w:r>
      <w:bookmarkStart w:id="0" w:name="_GoBack"/>
      <w:bookmarkEnd w:id="0"/>
      <w:r w:rsidRPr="00D3771F">
        <w:rPr>
          <w:rFonts w:ascii="Arial" w:eastAsia="Times New Roman" w:hAnsi="Arial" w:cs="Arial"/>
          <w:color w:val="000000"/>
          <w:sz w:val="18"/>
          <w:szCs w:val="18"/>
          <w:rtl/>
        </w:rPr>
        <w:t>ן</w:t>
      </w:r>
      <w:proofErr w:type="spellEnd"/>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כבוד השופטת ע' ברון</w:t>
      </w:r>
    </w:p>
    <w:p w:rsidR="00D3771F" w:rsidRPr="00D3771F" w:rsidRDefault="00D3771F" w:rsidP="00263F2B">
      <w:pPr>
        <w:bidi w:val="0"/>
        <w:spacing w:after="0"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המערער</w:t>
      </w:r>
      <w:r w:rsidRPr="00D3771F">
        <w:rPr>
          <w:rFonts w:ascii="Arial" w:eastAsia="Times New Roman" w:hAnsi="Arial" w:cs="Arial"/>
          <w:color w:val="000000"/>
          <w:sz w:val="18"/>
          <w:szCs w:val="18"/>
        </w:rPr>
        <w:t>:</w:t>
      </w:r>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tl/>
        </w:rPr>
        <w:t xml:space="preserve">דן </w:t>
      </w:r>
      <w:proofErr w:type="spellStart"/>
      <w:r w:rsidRPr="00D3771F">
        <w:rPr>
          <w:rFonts w:ascii="Arial" w:eastAsia="Times New Roman" w:hAnsi="Arial" w:cs="Arial"/>
          <w:color w:val="000000"/>
          <w:sz w:val="18"/>
          <w:szCs w:val="18"/>
          <w:rtl/>
        </w:rPr>
        <w:t>לויט</w:t>
      </w:r>
      <w:proofErr w:type="spellEnd"/>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נ ג ד</w:t>
      </w:r>
    </w:p>
    <w:p w:rsidR="00D3771F" w:rsidRPr="00D3771F" w:rsidRDefault="00D3771F" w:rsidP="00263F2B">
      <w:pPr>
        <w:bidi w:val="0"/>
        <w:spacing w:after="0"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המשיבים</w:t>
      </w:r>
      <w:r w:rsidRPr="00D3771F">
        <w:rPr>
          <w:rFonts w:ascii="Arial" w:eastAsia="Times New Roman" w:hAnsi="Arial" w:cs="Arial"/>
          <w:color w:val="000000"/>
          <w:sz w:val="18"/>
          <w:szCs w:val="18"/>
        </w:rPr>
        <w:t>:</w:t>
      </w:r>
      <w:r w:rsidRPr="00D3771F">
        <w:rPr>
          <w:rFonts w:ascii="Arial" w:eastAsia="Times New Roman" w:hAnsi="Arial" w:cs="Arial"/>
          <w:color w:val="000000"/>
          <w:sz w:val="18"/>
          <w:szCs w:val="18"/>
        </w:rPr>
        <w:br/>
        <w:t xml:space="preserve">1. </w:t>
      </w:r>
      <w:r w:rsidRPr="00D3771F">
        <w:rPr>
          <w:rFonts w:ascii="Arial" w:eastAsia="Times New Roman" w:hAnsi="Arial" w:cs="Arial"/>
          <w:color w:val="000000"/>
          <w:sz w:val="18"/>
          <w:szCs w:val="18"/>
          <w:rtl/>
        </w:rPr>
        <w:t>חנה בנבנישתי</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2. </w:t>
      </w:r>
      <w:r w:rsidRPr="00D3771F">
        <w:rPr>
          <w:rFonts w:ascii="Arial" w:eastAsia="Times New Roman" w:hAnsi="Arial" w:cs="Arial"/>
          <w:color w:val="000000"/>
          <w:sz w:val="18"/>
          <w:szCs w:val="18"/>
          <w:rtl/>
        </w:rPr>
        <w:t>יונית אפל</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3. </w:t>
      </w:r>
      <w:r w:rsidRPr="00D3771F">
        <w:rPr>
          <w:rFonts w:ascii="Arial" w:eastAsia="Times New Roman" w:hAnsi="Arial" w:cs="Arial"/>
          <w:color w:val="000000"/>
          <w:sz w:val="18"/>
          <w:szCs w:val="18"/>
          <w:rtl/>
        </w:rPr>
        <w:t>יצחק ששון</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4. </w:t>
      </w:r>
      <w:r w:rsidRPr="00D3771F">
        <w:rPr>
          <w:rFonts w:ascii="Arial" w:eastAsia="Times New Roman" w:hAnsi="Arial" w:cs="Arial"/>
          <w:color w:val="000000"/>
          <w:sz w:val="18"/>
          <w:szCs w:val="18"/>
          <w:rtl/>
        </w:rPr>
        <w:t>איריס ששון</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5. </w:t>
      </w:r>
      <w:r w:rsidRPr="00D3771F">
        <w:rPr>
          <w:rFonts w:ascii="Arial" w:eastAsia="Times New Roman" w:hAnsi="Arial" w:cs="Arial"/>
          <w:color w:val="000000"/>
          <w:sz w:val="18"/>
          <w:szCs w:val="18"/>
          <w:rtl/>
        </w:rPr>
        <w:t>יונה דגן</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6. </w:t>
      </w:r>
      <w:r w:rsidRPr="00D3771F">
        <w:rPr>
          <w:rFonts w:ascii="Arial" w:eastAsia="Times New Roman" w:hAnsi="Arial" w:cs="Arial"/>
          <w:color w:val="000000"/>
          <w:sz w:val="18"/>
          <w:szCs w:val="18"/>
          <w:rtl/>
        </w:rPr>
        <w:t>אייל בגון, פורמלי</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7. </w:t>
      </w:r>
      <w:r w:rsidRPr="00D3771F">
        <w:rPr>
          <w:rFonts w:ascii="Arial" w:eastAsia="Times New Roman" w:hAnsi="Arial" w:cs="Arial"/>
          <w:color w:val="000000"/>
          <w:sz w:val="18"/>
          <w:szCs w:val="18"/>
          <w:rtl/>
        </w:rPr>
        <w:t>יעל בגון, פורמלי</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8. </w:t>
      </w:r>
      <w:r w:rsidRPr="00D3771F">
        <w:rPr>
          <w:rFonts w:ascii="Arial" w:eastAsia="Times New Roman" w:hAnsi="Arial" w:cs="Arial"/>
          <w:color w:val="000000"/>
          <w:sz w:val="18"/>
          <w:szCs w:val="18"/>
          <w:rtl/>
        </w:rPr>
        <w:t>דוד גולן</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9. </w:t>
      </w:r>
      <w:r w:rsidRPr="00D3771F">
        <w:rPr>
          <w:rFonts w:ascii="Arial" w:eastAsia="Times New Roman" w:hAnsi="Arial" w:cs="Arial"/>
          <w:color w:val="000000"/>
          <w:sz w:val="18"/>
          <w:szCs w:val="18"/>
          <w:rtl/>
        </w:rPr>
        <w:t>מרכוס מיכל, פורמלית</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ערעור על פסק דינו של בית המשפט המחוזי בירושלים מיום 27.6.2014 </w:t>
      </w:r>
      <w:proofErr w:type="spellStart"/>
      <w:r w:rsidRPr="00D3771F">
        <w:rPr>
          <w:rFonts w:ascii="Arial" w:eastAsia="Times New Roman" w:hAnsi="Arial" w:cs="Arial"/>
          <w:color w:val="000000"/>
          <w:sz w:val="18"/>
          <w:szCs w:val="18"/>
          <w:rtl/>
        </w:rPr>
        <w:t>בת.א</w:t>
      </w:r>
      <w:proofErr w:type="spellEnd"/>
      <w:r w:rsidRPr="00D3771F">
        <w:rPr>
          <w:rFonts w:ascii="Arial" w:eastAsia="Times New Roman" w:hAnsi="Arial" w:cs="Arial"/>
          <w:color w:val="000000"/>
          <w:sz w:val="18"/>
          <w:szCs w:val="18"/>
          <w:rtl/>
        </w:rPr>
        <w:t xml:space="preserve">. 20886-06-12 שניתן על ידי כבוד </w:t>
      </w:r>
      <w:proofErr w:type="spellStart"/>
      <w:r w:rsidRPr="00D3771F">
        <w:rPr>
          <w:rFonts w:ascii="Arial" w:eastAsia="Times New Roman" w:hAnsi="Arial" w:cs="Arial"/>
          <w:color w:val="000000"/>
          <w:sz w:val="18"/>
          <w:szCs w:val="18"/>
          <w:rtl/>
        </w:rPr>
        <w:t>הושפט</w:t>
      </w:r>
      <w:proofErr w:type="spellEnd"/>
      <w:r w:rsidRPr="00D3771F">
        <w:rPr>
          <w:rFonts w:ascii="Arial" w:eastAsia="Times New Roman" w:hAnsi="Arial" w:cs="Arial"/>
          <w:color w:val="000000"/>
          <w:sz w:val="18"/>
          <w:szCs w:val="18"/>
          <w:rtl/>
        </w:rPr>
        <w:t xml:space="preserve"> א' </w:t>
      </w:r>
      <w:proofErr w:type="spellStart"/>
      <w:r w:rsidRPr="00D3771F">
        <w:rPr>
          <w:rFonts w:ascii="Arial" w:eastAsia="Times New Roman" w:hAnsi="Arial" w:cs="Arial"/>
          <w:color w:val="000000"/>
          <w:sz w:val="18"/>
          <w:szCs w:val="18"/>
          <w:rtl/>
        </w:rPr>
        <w:t>דראל</w:t>
      </w:r>
      <w:proofErr w:type="spellEnd"/>
    </w:p>
    <w:p w:rsidR="00D3771F" w:rsidRPr="00D3771F" w:rsidRDefault="00D3771F" w:rsidP="00263F2B">
      <w:pPr>
        <w:bidi w:val="0"/>
        <w:spacing w:after="0"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תאריך הישיבה</w:t>
      </w:r>
      <w:r w:rsidRPr="00D3771F">
        <w:rPr>
          <w:rFonts w:ascii="Arial" w:eastAsia="Times New Roman" w:hAnsi="Arial" w:cs="Arial"/>
          <w:color w:val="000000"/>
          <w:sz w:val="18"/>
          <w:szCs w:val="18"/>
        </w:rPr>
        <w:t>:</w:t>
      </w:r>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tl/>
        </w:rPr>
        <w:t xml:space="preserve">ט' באדר א' </w:t>
      </w:r>
      <w:proofErr w:type="spellStart"/>
      <w:r w:rsidRPr="00D3771F">
        <w:rPr>
          <w:rFonts w:ascii="Arial" w:eastAsia="Times New Roman" w:hAnsi="Arial" w:cs="Arial"/>
          <w:color w:val="000000"/>
          <w:sz w:val="18"/>
          <w:szCs w:val="18"/>
          <w:rtl/>
        </w:rPr>
        <w:t>התשע"ו</w:t>
      </w:r>
      <w:proofErr w:type="spellEnd"/>
      <w:r w:rsidRPr="00D3771F">
        <w:rPr>
          <w:rFonts w:ascii="Arial" w:eastAsia="Times New Roman" w:hAnsi="Arial" w:cs="Arial"/>
          <w:color w:val="000000"/>
          <w:sz w:val="18"/>
          <w:szCs w:val="18"/>
        </w:rPr>
        <w:br/>
        <w:t>(18.2.2016)</w:t>
      </w:r>
    </w:p>
    <w:p w:rsidR="00D3771F" w:rsidRPr="00D3771F" w:rsidRDefault="00D3771F" w:rsidP="00263F2B">
      <w:pPr>
        <w:bidi w:val="0"/>
        <w:spacing w:after="0"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בשם המערער</w:t>
      </w:r>
      <w:r w:rsidRPr="00D3771F">
        <w:rPr>
          <w:rFonts w:ascii="Arial" w:eastAsia="Times New Roman" w:hAnsi="Arial" w:cs="Arial"/>
          <w:color w:val="000000"/>
          <w:sz w:val="18"/>
          <w:szCs w:val="18"/>
        </w:rPr>
        <w:t>:</w:t>
      </w:r>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tl/>
        </w:rPr>
        <w:t>עו"ד מאיר אמיר כהן</w:t>
      </w:r>
    </w:p>
    <w:p w:rsidR="00D3771F" w:rsidRPr="00D3771F" w:rsidRDefault="00D3771F" w:rsidP="00263F2B">
      <w:pPr>
        <w:bidi w:val="0"/>
        <w:spacing w:after="0"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בשם המשיבים 8-1</w:t>
      </w:r>
      <w:r w:rsidRPr="00D3771F">
        <w:rPr>
          <w:rFonts w:ascii="Arial" w:eastAsia="Times New Roman" w:hAnsi="Arial" w:cs="Arial"/>
          <w:color w:val="000000"/>
          <w:sz w:val="18"/>
          <w:szCs w:val="18"/>
        </w:rPr>
        <w:t>:</w:t>
      </w:r>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tl/>
        </w:rPr>
        <w:t>עו"ד יששכר בר-הלל</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פסק-דין</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השופטת א' חיות</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ערעור על פסק דינו של בית המשפט המחוזי בירושלים (השופט א' </w:t>
      </w:r>
      <w:proofErr w:type="spellStart"/>
      <w:r w:rsidRPr="00D3771F">
        <w:rPr>
          <w:rFonts w:ascii="Arial" w:eastAsia="Times New Roman" w:hAnsi="Arial" w:cs="Arial"/>
          <w:color w:val="000000"/>
          <w:sz w:val="18"/>
          <w:szCs w:val="18"/>
          <w:rtl/>
        </w:rPr>
        <w:t>דראל</w:t>
      </w:r>
      <w:proofErr w:type="spellEnd"/>
      <w:r w:rsidRPr="00D3771F">
        <w:rPr>
          <w:rFonts w:ascii="Arial" w:eastAsia="Times New Roman" w:hAnsi="Arial" w:cs="Arial"/>
          <w:color w:val="000000"/>
          <w:sz w:val="18"/>
          <w:szCs w:val="18"/>
          <w:rtl/>
        </w:rPr>
        <w:t xml:space="preserve">) מיום 27.6.2014 בו נדחתה תביעת המערער להצהיר כי מלוא זכויות הבנייה בבית המשותף הידוע כחלקה 44 בגוש 30004 בירושלים (להלן: הבית המשותף) שייכות לו. </w:t>
      </w:r>
      <w:r w:rsidRPr="00D3771F">
        <w:rPr>
          <w:rFonts w:ascii="Arial" w:eastAsia="Times New Roman" w:hAnsi="Arial" w:cs="Arial"/>
          <w:color w:val="000000"/>
          <w:sz w:val="18"/>
          <w:szCs w:val="18"/>
          <w:rtl/>
        </w:rPr>
        <w:lastRenderedPageBreak/>
        <w:t>כמו כן, נדחתה בקשת המערער למתן צו מניעה קבוע האוסר על המשיבים לעשות שימוש מכל סוג שהוא בזכויות הבנייה בבית המשותף</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רקע עובדתי</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1. </w:t>
      </w:r>
      <w:r w:rsidRPr="00D3771F">
        <w:rPr>
          <w:rFonts w:ascii="Arial" w:eastAsia="Times New Roman" w:hAnsi="Arial" w:cs="Arial"/>
          <w:color w:val="000000"/>
          <w:sz w:val="18"/>
          <w:szCs w:val="18"/>
          <w:rtl/>
        </w:rPr>
        <w:t>המערער והמשיבים הם בעלי הזכויות בדירות בבית משותף בן שלוש קומות ברחוב יותם 11 בירושלים. ארבע הדירות שבבעלות המשיבים הן בקומת הקרקע והראשונה ודירתו של המערער היא דירת הגג בבניין (להלן: דירת הגג) ולצידה מרפסת (להלן: שטח הגג הפנוי). בשלב זה אין הצדדים חלוקים עוד על כך שזכויות הבנייה בשטח הגג הפנוי שייכות למערער, והשאלה העומדת במוקד הערעור דנן היא למי שייכות זכויות הבנייה הנותרות בחלקה שעליה בנוי הבית המשותף</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עד שנת 1962 היה הבית המשותף בבעלות רשות הפיתוח ונוהל על ידי עמידר. במכתב ששלחה רשות הפיתוח לעמידר ביום 28.9.1961, הוצע לדיירים (שהצדדים הם </w:t>
      </w:r>
      <w:proofErr w:type="spellStart"/>
      <w:r w:rsidRPr="00D3771F">
        <w:rPr>
          <w:rFonts w:ascii="Arial" w:eastAsia="Times New Roman" w:hAnsi="Arial" w:cs="Arial"/>
          <w:color w:val="000000"/>
          <w:sz w:val="18"/>
          <w:szCs w:val="18"/>
          <w:rtl/>
        </w:rPr>
        <w:t>חליפיהם</w:t>
      </w:r>
      <w:proofErr w:type="spellEnd"/>
      <w:r w:rsidRPr="00D3771F">
        <w:rPr>
          <w:rFonts w:ascii="Arial" w:eastAsia="Times New Roman" w:hAnsi="Arial" w:cs="Arial"/>
          <w:color w:val="000000"/>
          <w:sz w:val="18"/>
          <w:szCs w:val="18"/>
          <w:rtl/>
        </w:rPr>
        <w:t xml:space="preserve">) לרכוש את הדירות תוך פירוט הסכומים הנדרשים תמורתן בהתאם להערכת השמאי הממשלתי (להלן: מכתב רשות הפיתוח). השמאי הממשלתי העריך את שוויה של דירת הגג ב-6,000 ל"י ואת ה"זכויות לבנייה נוספת" העריך ב-6,000 ל"י. עוד הוצע כי הדיירים ירכשו את הבית המשותף בשלמותו תמורת סך של 29,000 ל"י, המגלם הנחה בשיעור של כ-30% מן המחיר הכולל של הדירות בנפרד. בעקבות מכתבה של רשות הפיתוח, פנתה עמידר לדיירים ביום 5.10.1961 והציעה להם לרכוש את דירותיהם ובלבד שהבניין יימכר כולו (להלן: מכתב עמידר). במכתבה, פירטה עמידר את הערכת השמאי הממשלתי לבניין כולו ואת חלוקת המחירים בין הדירות בבניין, ובהתייחסותה לדירה שבקומת הגג ציינה, בין היתר "זכויות בנייה נוספת על הגג – 6,000 ל"י". בתגובה, פנו ארבעת דיירי קומת הקרקע והקומה הראשונה אל עמידר ביום 13.5.1962 וביקשו כי תינתן לכל אחד בנפרד אפשרות לרכוש את דירתו במחיר מופחת כאילו כלל הדיירים רוכשים את הבניין כמקשה אחת. עמידר נאותה להעניק את המחיר המופחת אם הבניין יימכר כולו, וזאת בשני הסכמים: הסכם אחד עם ארבעת הדיירים והסכם שני עם הדיירים בקומת הגג. ביום 28.6.1962 התקשרה רשות הפיתוח באמצעות </w:t>
      </w:r>
      <w:proofErr w:type="spellStart"/>
      <w:r w:rsidRPr="00D3771F">
        <w:rPr>
          <w:rFonts w:ascii="Arial" w:eastAsia="Times New Roman" w:hAnsi="Arial" w:cs="Arial"/>
          <w:color w:val="000000"/>
          <w:sz w:val="18"/>
          <w:szCs w:val="18"/>
          <w:rtl/>
        </w:rPr>
        <w:t>מינהל</w:t>
      </w:r>
      <w:proofErr w:type="spellEnd"/>
      <w:r w:rsidRPr="00D3771F">
        <w:rPr>
          <w:rFonts w:ascii="Arial" w:eastAsia="Times New Roman" w:hAnsi="Arial" w:cs="Arial"/>
          <w:color w:val="000000"/>
          <w:sz w:val="18"/>
          <w:szCs w:val="18"/>
          <w:rtl/>
        </w:rPr>
        <w:t xml:space="preserve"> מקרקעי ישראל (כשמו אז) בהסכם עם ארבעת הדיירים לפיו מכרה להם את הדירות (להלן: הסכם הדיירים). בתיאור הממכר שבמבוא להסכם הדיירים צוין כי נמכרו "4 דירות של הנכס, פרט דירת הגג וגג הפנוי". עוד צוין בסעיף 2 כי</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 </w:t>
      </w:r>
      <w:r w:rsidRPr="00D3771F">
        <w:rPr>
          <w:rFonts w:ascii="Arial" w:eastAsia="Times New Roman" w:hAnsi="Arial" w:cs="Arial"/>
          <w:color w:val="000000"/>
          <w:sz w:val="18"/>
          <w:szCs w:val="18"/>
          <w:rtl/>
        </w:rPr>
        <w:t xml:space="preserve">הוסכם בפירוש שרכוש המשותף הזה לא יכלול את חלק הקרקע הבלתי בנוי (להלן "הקרקע הפנויה") וכמו כן לא יכלול הרכוש המשותף את הגג או הגגות של הבית המשותף וכל הבנוי והמחובר, בין חבור קבע ובין חבור ארעי, לגג או לגגות אלה או לקרקע הפנויה אשר </w:t>
      </w:r>
      <w:proofErr w:type="spellStart"/>
      <w:r w:rsidRPr="00D3771F">
        <w:rPr>
          <w:rFonts w:ascii="Arial" w:eastAsia="Times New Roman" w:hAnsi="Arial" w:cs="Arial"/>
          <w:color w:val="000000"/>
          <w:sz w:val="18"/>
          <w:szCs w:val="18"/>
          <w:rtl/>
        </w:rPr>
        <w:t>ישארו</w:t>
      </w:r>
      <w:proofErr w:type="spellEnd"/>
      <w:r w:rsidRPr="00D3771F">
        <w:rPr>
          <w:rFonts w:ascii="Arial" w:eastAsia="Times New Roman" w:hAnsi="Arial" w:cs="Arial"/>
          <w:color w:val="000000"/>
          <w:sz w:val="18"/>
          <w:szCs w:val="18"/>
          <w:rtl/>
        </w:rPr>
        <w:t xml:space="preserve"> צמודים לדירה או לדירות לפי בחירתו של המוכר" [ההדגשות הוספו]</w:t>
      </w:r>
      <w:r w:rsidRPr="00D3771F">
        <w:rPr>
          <w:rFonts w:ascii="Arial" w:eastAsia="Times New Roman" w:hAnsi="Arial" w:cs="Arial"/>
          <w:color w:val="000000"/>
          <w:sz w:val="18"/>
          <w:szCs w:val="18"/>
        </w:rPr>
        <w:t>.</w:t>
      </w:r>
    </w:p>
    <w:p w:rsidR="00D3771F" w:rsidRPr="00D3771F" w:rsidRDefault="00D3771F" w:rsidP="00263F2B">
      <w:pPr>
        <w:bidi w:val="0"/>
        <w:spacing w:after="0"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בסעיף 14(א) להסכם נקבע כי</w:t>
      </w:r>
      <w:r w:rsidRPr="00D3771F">
        <w:rPr>
          <w:rFonts w:ascii="Arial" w:eastAsia="Times New Roman" w:hAnsi="Arial" w:cs="Arial"/>
          <w:color w:val="000000"/>
          <w:sz w:val="18"/>
          <w:szCs w:val="18"/>
        </w:rPr>
        <w:t>:</w:t>
      </w:r>
      <w:r w:rsidRPr="00D3771F">
        <w:rPr>
          <w:rFonts w:ascii="Arial" w:eastAsia="Times New Roman" w:hAnsi="Arial" w:cs="Arial"/>
          <w:color w:val="000000"/>
          <w:sz w:val="18"/>
          <w:szCs w:val="18"/>
        </w:rPr>
        <w:br/>
        <w:t>"</w:t>
      </w:r>
      <w:r w:rsidRPr="00D3771F">
        <w:rPr>
          <w:rFonts w:ascii="Arial" w:eastAsia="Times New Roman" w:hAnsi="Arial" w:cs="Arial"/>
          <w:color w:val="000000"/>
          <w:sz w:val="18"/>
          <w:szCs w:val="18"/>
          <w:rtl/>
        </w:rPr>
        <w:t xml:space="preserve">המוכר יהיה רשאי, בכל עת שימצא לנכון, עד כמה שתכנית הבניה תאושר ע"י ועדת בנין ערים, להקים בעצמו ו/או על ידי אחרים ו/או לגרום להקמת קומה או קומות נוספות על גג או גגות הבית המשותף ולהוסיף על הקרקע הפנויה, בנין או בנינים, מבנה או מבנים, לצרכי דירה או דירות, בית או בתי עסק ולהשתמש בגג או בגגות של הבית ובקרקע הפנויה וברכוש המשותף </w:t>
      </w:r>
      <w:proofErr w:type="spellStart"/>
      <w:r w:rsidRPr="00D3771F">
        <w:rPr>
          <w:rFonts w:ascii="Arial" w:eastAsia="Times New Roman" w:hAnsi="Arial" w:cs="Arial"/>
          <w:color w:val="000000"/>
          <w:sz w:val="18"/>
          <w:szCs w:val="18"/>
          <w:rtl/>
        </w:rPr>
        <w:t>במדה</w:t>
      </w:r>
      <w:proofErr w:type="spellEnd"/>
      <w:r w:rsidRPr="00D3771F">
        <w:rPr>
          <w:rFonts w:ascii="Arial" w:eastAsia="Times New Roman" w:hAnsi="Arial" w:cs="Arial"/>
          <w:color w:val="000000"/>
          <w:sz w:val="18"/>
          <w:szCs w:val="18"/>
          <w:rtl/>
        </w:rPr>
        <w:t xml:space="preserve"> ויהיה צורך לכך לצרכי הבניה – </w:t>
      </w:r>
      <w:proofErr w:type="spellStart"/>
      <w:r w:rsidRPr="00D3771F">
        <w:rPr>
          <w:rFonts w:ascii="Arial" w:eastAsia="Times New Roman" w:hAnsi="Arial" w:cs="Arial"/>
          <w:color w:val="000000"/>
          <w:sz w:val="18"/>
          <w:szCs w:val="18"/>
          <w:rtl/>
        </w:rPr>
        <w:t>הכל</w:t>
      </w:r>
      <w:proofErr w:type="spellEnd"/>
      <w:r w:rsidRPr="00D3771F">
        <w:rPr>
          <w:rFonts w:ascii="Arial" w:eastAsia="Times New Roman" w:hAnsi="Arial" w:cs="Arial"/>
          <w:color w:val="000000"/>
          <w:sz w:val="18"/>
          <w:szCs w:val="18"/>
          <w:rtl/>
        </w:rPr>
        <w:t xml:space="preserve"> לפי ראות עיניו, והקונה ויתר בעלי הדירות והמחזיקים בבית המשותף לא יהיו רשאים להפריע או לעכב בעדו" [ההדגשות הוספו]</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כמו כן, חתמו ארבעת הדיירים על ייפוי כוח בלתי חוזר לרשות הפיתוח המאפשר לה לשנות חלקים ברכוש המשותף ולהצמיד את הגג שמעל הבניין לדירה מסוימת (להלן: ייפוי הכוח)</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2. </w:t>
      </w:r>
      <w:r w:rsidRPr="00D3771F">
        <w:rPr>
          <w:rFonts w:ascii="Arial" w:eastAsia="Times New Roman" w:hAnsi="Arial" w:cs="Arial"/>
          <w:color w:val="000000"/>
          <w:sz w:val="18"/>
          <w:szCs w:val="18"/>
          <w:rtl/>
        </w:rPr>
        <w:t xml:space="preserve">ביום 22.7.1962 התקשרו בני הזוג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(להלן: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שהתגוררו באותה עת בדירת הגג, עם רשות הפיתוח בהסכם למכירת "דירת גג ושטח פנוי של הגג עם זכות בנייה" (להלן: הסכם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בנוסח זהה להסכם הדיירים, אשר כלל גם הוא את סעיפים 2 ו-14 שנוסחם הובא לעיל. כמו כן, חתמו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על ייפוי כוח לטובת רשות הפיתוח בנוסח הזהה לייפוי הכוח שעליו חתמו הדיירים האחרים. כשנה לאחר מכן, ביום 15.5.1963, נרשם הבניין כבית משותף. בצו הרישום נקבע ביחס לדירת הגג כי "ליחידה זו צמוד הגג המסומן </w:t>
      </w:r>
      <w:proofErr w:type="spellStart"/>
      <w:r w:rsidRPr="00D3771F">
        <w:rPr>
          <w:rFonts w:ascii="Arial" w:eastAsia="Times New Roman" w:hAnsi="Arial" w:cs="Arial"/>
          <w:color w:val="000000"/>
          <w:sz w:val="18"/>
          <w:szCs w:val="18"/>
          <w:rtl/>
        </w:rPr>
        <w:t>בתשריט</w:t>
      </w:r>
      <w:proofErr w:type="spellEnd"/>
      <w:r w:rsidRPr="00D3771F">
        <w:rPr>
          <w:rFonts w:ascii="Arial" w:eastAsia="Times New Roman" w:hAnsi="Arial" w:cs="Arial"/>
          <w:color w:val="000000"/>
          <w:sz w:val="18"/>
          <w:szCs w:val="18"/>
          <w:rtl/>
        </w:rPr>
        <w:t xml:space="preserve"> במס' 5א" וחלוקת הרכוש המשותף בין הדיירים בצו הרישום נעשתה בהתאם לשטח הרצפה של הדירות הקיימות. אין בצו התייחסות לעניין חלוקת זכויות הבנייה ולא צורף אליו תקנון מוסכם. לכן, חל על הבית המשותף התקנון המצוי שבתוספת לחוק המקרקעין, התשכ"ט-1969 (להלן: חוק המקרקעין). התפתחות נוספת אשר המשיבים ביקשו לייחס לה משמעות היא ההליך שהגישה נציגות הבית המשותף ביום 23.12.1963 לפקיד המוסמך לפי חוק בתים משותפים [נוסח משולב], התשכ"א-1961, נגד רשות הפיתוח בקשר לתשלום דמי ועד הבית (להלן: ההליך מ-1963). באותו הליך הגישה רשות הפיתוח הודעת צד שלישי נגד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ובכתב ההגנה שהגישו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באותו עניין צוין, בין היתר, כי הם רכשו מרשות הפיתוח את דירת הגג ושטח פנוי הצמוד לדירה</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כמו כן עמדו המשיבים בטיעוניהם על כך שבשנת 1969 נתן הממונה המחוזי על רישום והסדר הודעה בדבר העברת הבעלות בדירת הגג מרשות הפיתוח </w:t>
      </w:r>
      <w:proofErr w:type="spellStart"/>
      <w:r w:rsidRPr="00D3771F">
        <w:rPr>
          <w:rFonts w:ascii="Arial" w:eastAsia="Times New Roman" w:hAnsi="Arial" w:cs="Arial"/>
          <w:color w:val="000000"/>
          <w:sz w:val="18"/>
          <w:szCs w:val="18"/>
          <w:rtl/>
        </w:rPr>
        <w:t>לבנא</w:t>
      </w:r>
      <w:proofErr w:type="spellEnd"/>
      <w:r w:rsidRPr="00D3771F">
        <w:rPr>
          <w:rFonts w:ascii="Arial" w:eastAsia="Times New Roman" w:hAnsi="Arial" w:cs="Arial"/>
          <w:color w:val="000000"/>
          <w:sz w:val="18"/>
          <w:szCs w:val="18"/>
          <w:rtl/>
        </w:rPr>
        <w:t xml:space="preserve"> ובתיאור הנכס נרשם: דירת הגג הכוללת שני חדרים בקומה העליונה וכן גג המסומן </w:t>
      </w:r>
      <w:proofErr w:type="spellStart"/>
      <w:r w:rsidRPr="00D3771F">
        <w:rPr>
          <w:rFonts w:ascii="Arial" w:eastAsia="Times New Roman" w:hAnsi="Arial" w:cs="Arial"/>
          <w:color w:val="000000"/>
          <w:sz w:val="18"/>
          <w:szCs w:val="18"/>
          <w:rtl/>
        </w:rPr>
        <w:t>בתשריט</w:t>
      </w:r>
      <w:proofErr w:type="spellEnd"/>
      <w:r w:rsidRPr="00D3771F">
        <w:rPr>
          <w:rFonts w:ascii="Arial" w:eastAsia="Times New Roman" w:hAnsi="Arial" w:cs="Arial"/>
          <w:color w:val="000000"/>
          <w:sz w:val="18"/>
          <w:szCs w:val="18"/>
          <w:rtl/>
        </w:rPr>
        <w:t xml:space="preserve"> במס' 5א' בלא שהוצמדו לדירה חלקים נוספים מהרכוש המשותף</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3. </w:t>
      </w:r>
      <w:r w:rsidRPr="00D3771F">
        <w:rPr>
          <w:rFonts w:ascii="Arial" w:eastAsia="Times New Roman" w:hAnsi="Arial" w:cs="Arial"/>
          <w:color w:val="000000"/>
          <w:sz w:val="18"/>
          <w:szCs w:val="18"/>
          <w:rtl/>
        </w:rPr>
        <w:t xml:space="preserve">המערער רכש את הזכויות בדירת הגג ביום 1.1.2008 ובהסכם המכר תואר הממכר כ-"דירה בת 3 חדרים ומרפסת גג צמודה". לטענת המערער, הוא ערך בירור בעמידר </w:t>
      </w:r>
      <w:proofErr w:type="spellStart"/>
      <w:r w:rsidRPr="00D3771F">
        <w:rPr>
          <w:rFonts w:ascii="Arial" w:eastAsia="Times New Roman" w:hAnsi="Arial" w:cs="Arial"/>
          <w:color w:val="000000"/>
          <w:sz w:val="18"/>
          <w:szCs w:val="18"/>
          <w:rtl/>
        </w:rPr>
        <w:t>ובמינהל</w:t>
      </w:r>
      <w:proofErr w:type="spellEnd"/>
      <w:r w:rsidRPr="00D3771F">
        <w:rPr>
          <w:rFonts w:ascii="Arial" w:eastAsia="Times New Roman" w:hAnsi="Arial" w:cs="Arial"/>
          <w:color w:val="000000"/>
          <w:sz w:val="18"/>
          <w:szCs w:val="18"/>
          <w:rtl/>
        </w:rPr>
        <w:t xml:space="preserve"> מקרקעי ישראל טרם שרכש את הזכויות בדירה ובמהלכו נאמר לו כי "...זכות בנייה בחלקה שייכות ליחידה 5" ועל סמך מידע זה התקשר לטענתו בהסכם המכר. כמו כן טען המערער כי קיבל אישור על כך ממר אברהם </w:t>
      </w:r>
      <w:proofErr w:type="spellStart"/>
      <w:r w:rsidRPr="00D3771F">
        <w:rPr>
          <w:rFonts w:ascii="Arial" w:eastAsia="Times New Roman" w:hAnsi="Arial" w:cs="Arial"/>
          <w:color w:val="000000"/>
          <w:sz w:val="18"/>
          <w:szCs w:val="18"/>
          <w:rtl/>
        </w:rPr>
        <w:t>נאוי</w:t>
      </w:r>
      <w:proofErr w:type="spellEnd"/>
      <w:r w:rsidRPr="00D3771F">
        <w:rPr>
          <w:rFonts w:ascii="Arial" w:eastAsia="Times New Roman" w:hAnsi="Arial" w:cs="Arial"/>
          <w:color w:val="000000"/>
          <w:sz w:val="18"/>
          <w:szCs w:val="18"/>
          <w:rtl/>
        </w:rPr>
        <w:t xml:space="preserve"> (להלן: </w:t>
      </w:r>
      <w:proofErr w:type="spellStart"/>
      <w:r w:rsidRPr="00D3771F">
        <w:rPr>
          <w:rFonts w:ascii="Arial" w:eastAsia="Times New Roman" w:hAnsi="Arial" w:cs="Arial"/>
          <w:color w:val="000000"/>
          <w:sz w:val="18"/>
          <w:szCs w:val="18"/>
          <w:rtl/>
        </w:rPr>
        <w:t>נאוי</w:t>
      </w:r>
      <w:proofErr w:type="spellEnd"/>
      <w:r w:rsidRPr="00D3771F">
        <w:rPr>
          <w:rFonts w:ascii="Arial" w:eastAsia="Times New Roman" w:hAnsi="Arial" w:cs="Arial"/>
          <w:color w:val="000000"/>
          <w:sz w:val="18"/>
          <w:szCs w:val="18"/>
          <w:rtl/>
        </w:rPr>
        <w:t xml:space="preserve">), ממונה מחוזי רישום והסדר </w:t>
      </w:r>
      <w:proofErr w:type="spellStart"/>
      <w:r w:rsidRPr="00D3771F">
        <w:rPr>
          <w:rFonts w:ascii="Arial" w:eastAsia="Times New Roman" w:hAnsi="Arial" w:cs="Arial"/>
          <w:color w:val="000000"/>
          <w:sz w:val="18"/>
          <w:szCs w:val="18"/>
          <w:rtl/>
        </w:rPr>
        <w:t>במינהל</w:t>
      </w:r>
      <w:proofErr w:type="spellEnd"/>
      <w:r w:rsidRPr="00D3771F">
        <w:rPr>
          <w:rFonts w:ascii="Arial" w:eastAsia="Times New Roman" w:hAnsi="Arial" w:cs="Arial"/>
          <w:color w:val="000000"/>
          <w:sz w:val="18"/>
          <w:szCs w:val="18"/>
          <w:rtl/>
        </w:rPr>
        <w:t xml:space="preserve"> מקרקעי ישראל, במכתב מיום 6.7.2008 בו צוין כי</w:t>
      </w:r>
      <w:r w:rsidRPr="00D3771F">
        <w:rPr>
          <w:rFonts w:ascii="Arial" w:eastAsia="Times New Roman" w:hAnsi="Arial" w:cs="Arial"/>
          <w:color w:val="000000"/>
          <w:sz w:val="18"/>
          <w:szCs w:val="18"/>
        </w:rPr>
        <w:t>:</w:t>
      </w:r>
    </w:p>
    <w:p w:rsidR="00D3771F" w:rsidRPr="00D3771F" w:rsidRDefault="00D3771F" w:rsidP="00263F2B">
      <w:pPr>
        <w:bidi w:val="0"/>
        <w:spacing w:after="0"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w:t>
      </w:r>
      <w:proofErr w:type="gramStart"/>
      <w:r w:rsidRPr="00D3771F">
        <w:rPr>
          <w:rFonts w:ascii="Arial" w:eastAsia="Times New Roman" w:hAnsi="Arial" w:cs="Arial"/>
          <w:color w:val="000000"/>
          <w:sz w:val="18"/>
          <w:szCs w:val="18"/>
        </w:rPr>
        <w:t>1. ...</w:t>
      </w:r>
      <w:proofErr w:type="gramEnd"/>
      <w:r w:rsidRPr="00D3771F">
        <w:rPr>
          <w:rFonts w:ascii="Arial" w:eastAsia="Times New Roman" w:hAnsi="Arial" w:cs="Arial"/>
          <w:color w:val="000000"/>
          <w:sz w:val="18"/>
          <w:szCs w:val="18"/>
        </w:rPr>
        <w:br/>
        <w:t xml:space="preserve">2. </w:t>
      </w:r>
      <w:r w:rsidRPr="00D3771F">
        <w:rPr>
          <w:rFonts w:ascii="Arial" w:eastAsia="Times New Roman" w:hAnsi="Arial" w:cs="Arial"/>
          <w:color w:val="000000"/>
          <w:sz w:val="18"/>
          <w:szCs w:val="18"/>
          <w:rtl/>
        </w:rPr>
        <w:t xml:space="preserve">מצ"ב צילום שומת השמאי הממשלתי [מכתב רשות הפיתוח] על פיה נקבע השווי לדירת הגג וזכויות הבנייה הנוספות בחלקה, משפחת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רכשה את דירת הגג ושילמה לרשות הפיתוח עבור כל זכויות הבנייה הנוספות בחלקה ביום הרכישה</w:t>
      </w:r>
      <w:r w:rsidRPr="00D3771F">
        <w:rPr>
          <w:rFonts w:ascii="Arial" w:eastAsia="Times New Roman" w:hAnsi="Arial" w:cs="Arial"/>
          <w:color w:val="000000"/>
          <w:sz w:val="18"/>
          <w:szCs w:val="18"/>
        </w:rPr>
        <w:t>;</w:t>
      </w:r>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Pr>
        <w:lastRenderedPageBreak/>
        <w:t xml:space="preserve">3. </w:t>
      </w:r>
      <w:r w:rsidRPr="00D3771F">
        <w:rPr>
          <w:rFonts w:ascii="Arial" w:eastAsia="Times New Roman" w:hAnsi="Arial" w:cs="Arial"/>
          <w:color w:val="000000"/>
          <w:sz w:val="18"/>
          <w:szCs w:val="18"/>
          <w:rtl/>
        </w:rPr>
        <w:t xml:space="preserve">עם יתר הדיירים </w:t>
      </w:r>
      <w:proofErr w:type="spellStart"/>
      <w:r w:rsidRPr="00D3771F">
        <w:rPr>
          <w:rFonts w:ascii="Arial" w:eastAsia="Times New Roman" w:hAnsi="Arial" w:cs="Arial"/>
          <w:color w:val="000000"/>
          <w:sz w:val="18"/>
          <w:szCs w:val="18"/>
          <w:rtl/>
        </w:rPr>
        <w:t>בבנין</w:t>
      </w:r>
      <w:proofErr w:type="spellEnd"/>
      <w:r w:rsidRPr="00D3771F">
        <w:rPr>
          <w:rFonts w:ascii="Arial" w:eastAsia="Times New Roman" w:hAnsi="Arial" w:cs="Arial"/>
          <w:color w:val="000000"/>
          <w:sz w:val="18"/>
          <w:szCs w:val="18"/>
          <w:rtl/>
        </w:rPr>
        <w:t xml:space="preserve"> נחתם חוזה מכר בו צוין מפורשות כי רכשו ארבע דירות פרט לדירת הגג והגג הצמוד..." [ההדגשה הוספה]</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4. </w:t>
      </w:r>
      <w:r w:rsidRPr="00D3771F">
        <w:rPr>
          <w:rFonts w:ascii="Arial" w:eastAsia="Times New Roman" w:hAnsi="Arial" w:cs="Arial"/>
          <w:color w:val="000000"/>
          <w:sz w:val="18"/>
          <w:szCs w:val="18"/>
          <w:rtl/>
        </w:rPr>
        <w:t>המערער הגיש לוועדה המקומית לתכנון ובנייה בירושלים בקשה להיתר בנייה להשלמת קומת הגג ולבניית קומה רביעית בבניין. המשיבים התנגדו לבקשה וביום 22.9.2011, אישרה ועדת הערר את בקשת המערער לבנייה על שטח הגג הפנוי בלבד. המשיבים מצדם עתרו לקבלת היתר בנייה להרחבת דירותיהם ולכך התנגד המערער והיתר כאמור לא ניתן להם. לאחר הליכים אלו בפני הוועדה המקומית, הגיש המערער את ההליך דנן בו עתר להצהיר כי מלוא זכויות הבנייה בבית המשותף שייכות לו וכן עתר לצו מניעה קבוע האוסר על המשיבים לעשות שימוש מכל סוג שהוא בזכויות אלה. למען שלמות התמונה יצוין כי בהתאם להסכמה דיונית שהושגה בין הצדדים ניתן פסק דינו של בית המשפט קמא על סמך תצהירי העדות שהוגשו, בלא שמיעת הוכחות</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פסק דינו של בית המשפט המחוזי</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5. </w:t>
      </w:r>
      <w:r w:rsidRPr="00D3771F">
        <w:rPr>
          <w:rFonts w:ascii="Arial" w:eastAsia="Times New Roman" w:hAnsi="Arial" w:cs="Arial"/>
          <w:color w:val="000000"/>
          <w:sz w:val="18"/>
          <w:szCs w:val="18"/>
          <w:rtl/>
        </w:rPr>
        <w:t xml:space="preserve">ביום 27.6.2014 דחה בית המשפט המחוזי את תביעת המערער וקבע כי מן הראיות שהוצגו לו עולה כי התיבה "זכות בנייה" בהסכם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משמעה זכות בנייה על שטח הגג הפנוי בלבד ולא כל זכויות הבנייה בבית המשותף. תימוכין למסקנתו זו מצא בית המשפט במכתב עמידר בו הוגדרו זכויות הבנייה שנמכרו </w:t>
      </w:r>
      <w:proofErr w:type="spellStart"/>
      <w:r w:rsidRPr="00D3771F">
        <w:rPr>
          <w:rFonts w:ascii="Arial" w:eastAsia="Times New Roman" w:hAnsi="Arial" w:cs="Arial"/>
          <w:color w:val="000000"/>
          <w:sz w:val="18"/>
          <w:szCs w:val="18"/>
          <w:rtl/>
        </w:rPr>
        <w:t>לבנא</w:t>
      </w:r>
      <w:proofErr w:type="spellEnd"/>
      <w:r w:rsidRPr="00D3771F">
        <w:rPr>
          <w:rFonts w:ascii="Arial" w:eastAsia="Times New Roman" w:hAnsi="Arial" w:cs="Arial"/>
          <w:color w:val="000000"/>
          <w:sz w:val="18"/>
          <w:szCs w:val="18"/>
          <w:rtl/>
        </w:rPr>
        <w:t xml:space="preserve"> כ"זכויות בנייה נוספת על הגג" וכן במכתב רשות הפיתוח בו ה"זכויות לבנייה נוספת" שנמכרו </w:t>
      </w:r>
      <w:proofErr w:type="spellStart"/>
      <w:r w:rsidRPr="00D3771F">
        <w:rPr>
          <w:rFonts w:ascii="Arial" w:eastAsia="Times New Roman" w:hAnsi="Arial" w:cs="Arial"/>
          <w:color w:val="000000"/>
          <w:sz w:val="18"/>
          <w:szCs w:val="18"/>
          <w:rtl/>
        </w:rPr>
        <w:t>לבנא</w:t>
      </w:r>
      <w:proofErr w:type="spellEnd"/>
      <w:r w:rsidRPr="00D3771F">
        <w:rPr>
          <w:rFonts w:ascii="Arial" w:eastAsia="Times New Roman" w:hAnsi="Arial" w:cs="Arial"/>
          <w:color w:val="000000"/>
          <w:sz w:val="18"/>
          <w:szCs w:val="18"/>
          <w:rtl/>
        </w:rPr>
        <w:t xml:space="preserve"> נכתבו תחת הכותרת "ק. הגג". בית המשפט הוסיף וציין בהקשר זה את כתב ההגנה של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בהליך מ-1963 בו לא הזכירו כלל כי יש בידיהם זכויות בנייה. אשר לסעיף 2 וסעיף 14(א) בהסכם הדיירים ובהסכם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וייפויי הכוח לטובת רשות הפיתוח שעליהם חתמו, קבע בית המשפט כי אין בהם כדי לשנות ממסקנתו שכן מדובר בחוזים אחידים שנחתמו הן על ידי ארבעת הדיירים והן על ידי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בעוד שוויתור על זכות בנייה חייב להיעשות במפורש. אשר למכתבו של </w:t>
      </w:r>
      <w:proofErr w:type="spellStart"/>
      <w:r w:rsidRPr="00D3771F">
        <w:rPr>
          <w:rFonts w:ascii="Arial" w:eastAsia="Times New Roman" w:hAnsi="Arial" w:cs="Arial"/>
          <w:color w:val="000000"/>
          <w:sz w:val="18"/>
          <w:szCs w:val="18"/>
          <w:rtl/>
        </w:rPr>
        <w:t>נאוי</w:t>
      </w:r>
      <w:proofErr w:type="spellEnd"/>
      <w:r w:rsidRPr="00D3771F">
        <w:rPr>
          <w:rFonts w:ascii="Arial" w:eastAsia="Times New Roman" w:hAnsi="Arial" w:cs="Arial"/>
          <w:color w:val="000000"/>
          <w:sz w:val="18"/>
          <w:szCs w:val="18"/>
          <w:rtl/>
        </w:rPr>
        <w:t xml:space="preserve">, קבע בית המשפט קמא כי אין בו כדי לסייע למערער משום </w:t>
      </w:r>
      <w:proofErr w:type="spellStart"/>
      <w:r w:rsidRPr="00D3771F">
        <w:rPr>
          <w:rFonts w:ascii="Arial" w:eastAsia="Times New Roman" w:hAnsi="Arial" w:cs="Arial"/>
          <w:color w:val="000000"/>
          <w:sz w:val="18"/>
          <w:szCs w:val="18"/>
          <w:rtl/>
        </w:rPr>
        <w:t>שנאוי</w:t>
      </w:r>
      <w:proofErr w:type="spellEnd"/>
      <w:r w:rsidRPr="00D3771F">
        <w:rPr>
          <w:rFonts w:ascii="Arial" w:eastAsia="Times New Roman" w:hAnsi="Arial" w:cs="Arial"/>
          <w:color w:val="000000"/>
          <w:sz w:val="18"/>
          <w:szCs w:val="18"/>
          <w:rtl/>
        </w:rPr>
        <w:t xml:space="preserve"> לא העיד על כוונת רשות הפיתוח מתוך ידיעה אישית, אלא נתן פרשנות להסכמות שאליהן הגיעה רשות הפיתוח עם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לפי הרישומים שבפניו ובמצב דברים זה, אין פרשנותו יכולה להחליף את פרשנות בית המשפט לאותם מסמכים. עוד ציין בית המשפט המחוזי כי למרות ששולמו 29,000 ל"י עבור הבניין בשלמותו, חלוקת התשלום הפנימית אינה תואמת את החלוקה שבמכתב עמידר, שכן </w:t>
      </w:r>
      <w:proofErr w:type="spellStart"/>
      <w:r w:rsidRPr="00D3771F">
        <w:rPr>
          <w:rFonts w:ascii="Arial" w:eastAsia="Times New Roman" w:hAnsi="Arial" w:cs="Arial"/>
          <w:color w:val="000000"/>
          <w:sz w:val="18"/>
          <w:szCs w:val="18"/>
          <w:rtl/>
        </w:rPr>
        <w:t>רוכשי</w:t>
      </w:r>
      <w:proofErr w:type="spellEnd"/>
      <w:r w:rsidRPr="00D3771F">
        <w:rPr>
          <w:rFonts w:ascii="Arial" w:eastAsia="Times New Roman" w:hAnsi="Arial" w:cs="Arial"/>
          <w:color w:val="000000"/>
          <w:sz w:val="18"/>
          <w:szCs w:val="18"/>
          <w:rtl/>
        </w:rPr>
        <w:t xml:space="preserve"> הדירות בקומת הקרקע ובקומה הראשונה שילמו סך של 20,492 ל"י ואילו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שילמו 8,508 ל"י, ולא 12,000 ל"י כנדרש במכתב. להפרש שבין הסכומים לא ניתן הסבר בראיות ועל כן, כך קבע בית המשפט, אין לייחס לו משקל</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בית המשפט המחוזי קבע, אפוא, כי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רכשו את זכויות הבנייה על שטח הגג הפנוי בלבד והוא הוסיף וקבע כי יתרת זכויות הבנייה הוקנו לכלל הדיירים, לרבות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בהתאם לחלקם היחסי ברכוש המשותף וכי המערער אינו יכול לטעון לזכויות העולות על אלה שהיו </w:t>
      </w:r>
      <w:proofErr w:type="spellStart"/>
      <w:r w:rsidRPr="00D3771F">
        <w:rPr>
          <w:rFonts w:ascii="Arial" w:eastAsia="Times New Roman" w:hAnsi="Arial" w:cs="Arial"/>
          <w:color w:val="000000"/>
          <w:sz w:val="18"/>
          <w:szCs w:val="18"/>
          <w:rtl/>
        </w:rPr>
        <w:t>לבנא</w:t>
      </w:r>
      <w:proofErr w:type="spellEnd"/>
      <w:r w:rsidRPr="00D3771F">
        <w:rPr>
          <w:rFonts w:ascii="Arial" w:eastAsia="Times New Roman" w:hAnsi="Arial" w:cs="Arial"/>
          <w:color w:val="000000"/>
          <w:sz w:val="18"/>
          <w:szCs w:val="18"/>
          <w:rtl/>
        </w:rPr>
        <w:t xml:space="preserve">. עוד קבע בית המשפט כי בהסכם הרכישה של המערער אין כל זכר לזכויות בנייה. כמו כן קבע בית המשפט כי טענת המערער שעיין בתיקי עמידר </w:t>
      </w:r>
      <w:proofErr w:type="spellStart"/>
      <w:r w:rsidRPr="00D3771F">
        <w:rPr>
          <w:rFonts w:ascii="Arial" w:eastAsia="Times New Roman" w:hAnsi="Arial" w:cs="Arial"/>
          <w:color w:val="000000"/>
          <w:sz w:val="18"/>
          <w:szCs w:val="18"/>
          <w:rtl/>
        </w:rPr>
        <w:t>ומינהל</w:t>
      </w:r>
      <w:proofErr w:type="spellEnd"/>
      <w:r w:rsidRPr="00D3771F">
        <w:rPr>
          <w:rFonts w:ascii="Arial" w:eastAsia="Times New Roman" w:hAnsi="Arial" w:cs="Arial"/>
          <w:color w:val="000000"/>
          <w:sz w:val="18"/>
          <w:szCs w:val="18"/>
          <w:rtl/>
        </w:rPr>
        <w:t xml:space="preserve"> מקרקעי ישראל בטרם רכש את דירת הגג, אין בה כדי להועיל לו שכן במרשם המקרקעין שעליו יכול היה להסתמך, כלל לא נרשמו זכויות בנייה. בית המשפט נדרש בקצרה לשאלה אם ניתן לראות בחלק מהמשיבים כמי שרכשו את הדירות בתנאי תקנת השוק שבסעיף 10 לחוק המקרקעין, כך שבהיעדר רישום זכויות בנייה של המערער בלשכת רישום המקרקעין ובפנקס הבתים המשותפים, יש לראותם כמי שרכשו את הזכויות בדירות כשהן "נקיות" מזכויות המערער והשיב על שאלה זו בשלילה, </w:t>
      </w:r>
      <w:proofErr w:type="spellStart"/>
      <w:r w:rsidRPr="00D3771F">
        <w:rPr>
          <w:rFonts w:ascii="Arial" w:eastAsia="Times New Roman" w:hAnsi="Arial" w:cs="Arial"/>
          <w:color w:val="000000"/>
          <w:sz w:val="18"/>
          <w:szCs w:val="18"/>
          <w:rtl/>
        </w:rPr>
        <w:t>בקובעו</w:t>
      </w:r>
      <w:proofErr w:type="spellEnd"/>
      <w:r w:rsidRPr="00D3771F">
        <w:rPr>
          <w:rFonts w:ascii="Arial" w:eastAsia="Times New Roman" w:hAnsi="Arial" w:cs="Arial"/>
          <w:color w:val="000000"/>
          <w:sz w:val="18"/>
          <w:szCs w:val="18"/>
          <w:rtl/>
        </w:rPr>
        <w:t xml:space="preserve"> כי המשיבים לא הניחו תשתית עובדתית מספקת להוכחת התקיימותם של תנאי תקנת השוק במקרקעין</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מכאן הערעור שלפנינו</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טענות הצדדים</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6. </w:t>
      </w:r>
      <w:r w:rsidRPr="00D3771F">
        <w:rPr>
          <w:rFonts w:ascii="Arial" w:eastAsia="Times New Roman" w:hAnsi="Arial" w:cs="Arial"/>
          <w:color w:val="000000"/>
          <w:sz w:val="18"/>
          <w:szCs w:val="18"/>
          <w:rtl/>
        </w:rPr>
        <w:t xml:space="preserve">המערער מלין על קביעותיו ומסקנותיו של בית המשפט קמא והוא שב ועותר להצהיר כי מלוא זכויות הבנייה בבית המשותף הן בבעלותו וכי מתוקף הזכויות שהוקנו </w:t>
      </w:r>
      <w:proofErr w:type="spellStart"/>
      <w:r w:rsidRPr="00D3771F">
        <w:rPr>
          <w:rFonts w:ascii="Arial" w:eastAsia="Times New Roman" w:hAnsi="Arial" w:cs="Arial"/>
          <w:color w:val="000000"/>
          <w:sz w:val="18"/>
          <w:szCs w:val="18"/>
          <w:rtl/>
        </w:rPr>
        <w:t>לבנא</w:t>
      </w:r>
      <w:proofErr w:type="spellEnd"/>
      <w:r w:rsidRPr="00D3771F">
        <w:rPr>
          <w:rFonts w:ascii="Arial" w:eastAsia="Times New Roman" w:hAnsi="Arial" w:cs="Arial"/>
          <w:color w:val="000000"/>
          <w:sz w:val="18"/>
          <w:szCs w:val="18"/>
          <w:rtl/>
        </w:rPr>
        <w:t xml:space="preserve"> ושאותן רכש, יש בידיו כל הכוחות והסמכויות הנדרשים לשם ביצוע בנייה של הקומה הרביעית על גג הבניין, לרבות הזכות לעשיית שימוש ברכוש המשותף, סימון חניות חדשות והתקנת מעלית. עוד טוען המערער כי המסמכים שצוינו לעיל מלמדים כי רשות הפיתוח מכרה </w:t>
      </w:r>
      <w:proofErr w:type="spellStart"/>
      <w:r w:rsidRPr="00D3771F">
        <w:rPr>
          <w:rFonts w:ascii="Arial" w:eastAsia="Times New Roman" w:hAnsi="Arial" w:cs="Arial"/>
          <w:color w:val="000000"/>
          <w:sz w:val="18"/>
          <w:szCs w:val="18"/>
          <w:rtl/>
        </w:rPr>
        <w:t>לבנא</w:t>
      </w:r>
      <w:proofErr w:type="spellEnd"/>
      <w:r w:rsidRPr="00D3771F">
        <w:rPr>
          <w:rFonts w:ascii="Arial" w:eastAsia="Times New Roman" w:hAnsi="Arial" w:cs="Arial"/>
          <w:color w:val="000000"/>
          <w:sz w:val="18"/>
          <w:szCs w:val="18"/>
          <w:rtl/>
        </w:rPr>
        <w:t xml:space="preserve"> את מלוא זכויות הבנייה בבית המשותף וכי יתר הדיירים, שהמשיבים באו בנעליהם, ויתרו על זכויות אלה. כמו כן נטען כי בניגוד לקביעת בית המשפט המחוזי, סכום התמורה ששילמה משפחת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תומך במסקנה כי רכשה את כל זכויות הבנייה, משום שהוא זהה לסכום המתקבל מהמחירים המקוריים שדרשה רשות הפיתוח עבור דירת הגג וזכות הבנייה בהפחתת 29.1% מן המחיר. לשיטת המערער אף </w:t>
      </w:r>
      <w:proofErr w:type="spellStart"/>
      <w:r w:rsidRPr="00D3771F">
        <w:rPr>
          <w:rFonts w:ascii="Arial" w:eastAsia="Times New Roman" w:hAnsi="Arial" w:cs="Arial"/>
          <w:color w:val="000000"/>
          <w:sz w:val="18"/>
          <w:szCs w:val="18"/>
          <w:rtl/>
        </w:rPr>
        <w:t>שבנא</w:t>
      </w:r>
      <w:proofErr w:type="spellEnd"/>
      <w:r w:rsidRPr="00D3771F">
        <w:rPr>
          <w:rFonts w:ascii="Arial" w:eastAsia="Times New Roman" w:hAnsi="Arial" w:cs="Arial"/>
          <w:color w:val="000000"/>
          <w:sz w:val="18"/>
          <w:szCs w:val="18"/>
          <w:rtl/>
        </w:rPr>
        <w:t xml:space="preserve"> חתמו על חוזה הכולל את סעיף 14(א) שעליו חתמו גם הדיירים, ההוראות הספציפיות שבחוזה גוברות על התנאים הכלליים שבסעיף זה. אשר לקביעת בית המשפט המחוזי כי המשיבים לא ויתרו במפורש על זכויות הבנייה, טוען המערער כי מעולם לא היו לדיירים זכויות בנייה לוותר עליהן ומכל מקום חתימתם על הסכם המכר עם רשות הפיתוח מהווה ויתור מפורש מצדם, הואיל ונקבע בו כי הגג וזכות הבנייה אינם חלק מהממכר. המערער מוסיף וטוען כי הגורם היחיד שיכול לטעון לצמצום זכות הבנייה הוא רשות הפיתוח אשר הבהירה מפורשות, כפי שעולה לטענתו ממכתב </w:t>
      </w:r>
      <w:proofErr w:type="spellStart"/>
      <w:r w:rsidRPr="00D3771F">
        <w:rPr>
          <w:rFonts w:ascii="Arial" w:eastAsia="Times New Roman" w:hAnsi="Arial" w:cs="Arial"/>
          <w:color w:val="000000"/>
          <w:sz w:val="18"/>
          <w:szCs w:val="18"/>
          <w:rtl/>
        </w:rPr>
        <w:t>נאוי</w:t>
      </w:r>
      <w:proofErr w:type="spellEnd"/>
      <w:r w:rsidRPr="00D3771F">
        <w:rPr>
          <w:rFonts w:ascii="Arial" w:eastAsia="Times New Roman" w:hAnsi="Arial" w:cs="Arial"/>
          <w:color w:val="000000"/>
          <w:sz w:val="18"/>
          <w:szCs w:val="18"/>
          <w:rtl/>
        </w:rPr>
        <w:t xml:space="preserve">, כי מכרה את מלוא זכויות הבנייה בחלקה </w:t>
      </w:r>
      <w:proofErr w:type="spellStart"/>
      <w:r w:rsidRPr="00D3771F">
        <w:rPr>
          <w:rFonts w:ascii="Arial" w:eastAsia="Times New Roman" w:hAnsi="Arial" w:cs="Arial"/>
          <w:color w:val="000000"/>
          <w:sz w:val="18"/>
          <w:szCs w:val="18"/>
          <w:rtl/>
        </w:rPr>
        <w:t>לבנא</w:t>
      </w:r>
      <w:proofErr w:type="spellEnd"/>
      <w:r w:rsidRPr="00D3771F">
        <w:rPr>
          <w:rFonts w:ascii="Arial" w:eastAsia="Times New Roman" w:hAnsi="Arial" w:cs="Arial"/>
          <w:color w:val="000000"/>
          <w:sz w:val="18"/>
          <w:szCs w:val="18"/>
          <w:rtl/>
        </w:rPr>
        <w:t xml:space="preserve">. בהקשר זה טוען המערער כי שגה בית המשפט קמא </w:t>
      </w:r>
      <w:proofErr w:type="spellStart"/>
      <w:r w:rsidRPr="00D3771F">
        <w:rPr>
          <w:rFonts w:ascii="Arial" w:eastAsia="Times New Roman" w:hAnsi="Arial" w:cs="Arial"/>
          <w:color w:val="000000"/>
          <w:sz w:val="18"/>
          <w:szCs w:val="18"/>
          <w:rtl/>
        </w:rPr>
        <w:t>בקובעו</w:t>
      </w:r>
      <w:proofErr w:type="spellEnd"/>
      <w:r w:rsidRPr="00D3771F">
        <w:rPr>
          <w:rFonts w:ascii="Arial" w:eastAsia="Times New Roman" w:hAnsi="Arial" w:cs="Arial"/>
          <w:color w:val="000000"/>
          <w:sz w:val="18"/>
          <w:szCs w:val="18"/>
          <w:rtl/>
        </w:rPr>
        <w:t xml:space="preserve"> כי מכתבו של </w:t>
      </w:r>
      <w:proofErr w:type="spellStart"/>
      <w:r w:rsidRPr="00D3771F">
        <w:rPr>
          <w:rFonts w:ascii="Arial" w:eastAsia="Times New Roman" w:hAnsi="Arial" w:cs="Arial"/>
          <w:color w:val="000000"/>
          <w:sz w:val="18"/>
          <w:szCs w:val="18"/>
          <w:rtl/>
        </w:rPr>
        <w:t>נאוי</w:t>
      </w:r>
      <w:proofErr w:type="spellEnd"/>
      <w:r w:rsidRPr="00D3771F">
        <w:rPr>
          <w:rFonts w:ascii="Arial" w:eastAsia="Times New Roman" w:hAnsi="Arial" w:cs="Arial"/>
          <w:color w:val="000000"/>
          <w:sz w:val="18"/>
          <w:szCs w:val="18"/>
          <w:rtl/>
        </w:rPr>
        <w:t xml:space="preserve"> נטול ערך ראייתי שכן רשות הפיתוח היא שמכרה את הזכויות בבית המשותף ומכירה היטב את נהליה והוא מוסיף כי אין לייחס חשיבות לעובדה שבכתב ההגנה של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בהליך מ-1963 הם לא הזכירו את זכויות הבנייה, שכן התביעה עסקה בתשלום דמי ועד הבית ולא היה לה קשר ולו הרופף ביותר לזכויות בנייה</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7. </w:t>
      </w:r>
      <w:r w:rsidRPr="00D3771F">
        <w:rPr>
          <w:rFonts w:ascii="Arial" w:eastAsia="Times New Roman" w:hAnsi="Arial" w:cs="Arial"/>
          <w:color w:val="000000"/>
          <w:sz w:val="18"/>
          <w:szCs w:val="18"/>
          <w:rtl/>
        </w:rPr>
        <w:t xml:space="preserve">המשיבים מצדם סומכים ידיהם על פסק דינו של בית המשפט המחוזי וטוענים כי הסכמי המכר וייפויי הכוח שנחתמו הן על ידי הדיירים והן על ידי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זהים וסטנדרטיים ועל כן לגישתם אין ממש בטענת המערער כי מכוח הסכם המכר שויכו מלוא זכויות הבנייה בחלקה לדירת הגג. זאת, בין היתר, משום שהסכם הדיירים אינו מתייחס לזכויות בנייה ואילו רצתה רשות הפיתוח לשלול זכויות אלה היה עליה לציין זאת במפורש. כמו כן, זכויות הבנייה אינן מוזכרות בספרי המקרקעין או בצו רישום הבית המשותף ובנוסף לא רשומה בעניין זה הערת אזהרה לטובת המערער. זאת ועוד, הגג שמעל דירת המערער סומן </w:t>
      </w:r>
      <w:proofErr w:type="spellStart"/>
      <w:r w:rsidRPr="00D3771F">
        <w:rPr>
          <w:rFonts w:ascii="Arial" w:eastAsia="Times New Roman" w:hAnsi="Arial" w:cs="Arial"/>
          <w:color w:val="000000"/>
          <w:sz w:val="18"/>
          <w:szCs w:val="18"/>
          <w:rtl/>
        </w:rPr>
        <w:t>בתשריט</w:t>
      </w:r>
      <w:proofErr w:type="spellEnd"/>
      <w:r w:rsidRPr="00D3771F">
        <w:rPr>
          <w:rFonts w:ascii="Arial" w:eastAsia="Times New Roman" w:hAnsi="Arial" w:cs="Arial"/>
          <w:color w:val="000000"/>
          <w:sz w:val="18"/>
          <w:szCs w:val="18"/>
          <w:rtl/>
        </w:rPr>
        <w:t xml:space="preserve"> צו הבית המשותף כחלק מן הרכוש המשותף וחל לגביו התקנון המצוי. סימון זה מלמד לשיטתם כי </w:t>
      </w:r>
      <w:r w:rsidRPr="00D3771F">
        <w:rPr>
          <w:rFonts w:ascii="Arial" w:eastAsia="Times New Roman" w:hAnsi="Arial" w:cs="Arial"/>
          <w:color w:val="000000"/>
          <w:sz w:val="18"/>
          <w:szCs w:val="18"/>
          <w:rtl/>
        </w:rPr>
        <w:lastRenderedPageBreak/>
        <w:t xml:space="preserve">רשות הפיתוח ויתרה על זכותה להוציא חלקים מן הרכוש המשותף ועל כן ויתרה גם על זכויות הבנייה הנוספות אשר נותרו בידי כלל הדיירים. עוד נטען כי תכנית המתאר שהייתה בתוקף בעת עריכת הסכם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אפשרה לבנות שלוש קומות בלבד ולכן נמכרו באותה עת זכויות בנייה אלה בלבד ולא מלוא זכויות הבנייה בבניין לרבות הזכויות העתידיות</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8. </w:t>
      </w:r>
      <w:r w:rsidRPr="00D3771F">
        <w:rPr>
          <w:rFonts w:ascii="Arial" w:eastAsia="Times New Roman" w:hAnsi="Arial" w:cs="Arial"/>
          <w:color w:val="000000"/>
          <w:sz w:val="18"/>
          <w:szCs w:val="18"/>
          <w:rtl/>
        </w:rPr>
        <w:t>בתשובתו טוען המערער כי רישום הבית המשותף אינו מעלה או מוריד שכן אף לשיטת המשיבים מסמכי הרישום אינם משקפים את מלוא זכויותיהם של הצדדים ואין בהם ביטוי כלשהו לזכויות בנייה. כמו כן טוען המערער כי אין בתכנית המתאר שהייתה בתוקף באותה תקופה כדי להועיל למשיבים שכן על פיה ניתן היה במסגרת הקלה לבנות קומות נוספות וממילא מי שרוכש זכות בנייה אינו רוכש אותה בכפוף לתכנית שהייתה בתוקף בעת הרכישה</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דיון והכרעה</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9. </w:t>
      </w:r>
      <w:r w:rsidRPr="00D3771F">
        <w:rPr>
          <w:rFonts w:ascii="Arial" w:eastAsia="Times New Roman" w:hAnsi="Arial" w:cs="Arial"/>
          <w:color w:val="000000"/>
          <w:sz w:val="18"/>
          <w:szCs w:val="18"/>
          <w:rtl/>
        </w:rPr>
        <w:t xml:space="preserve">השאלה המרכזית הצריכה הכרעה בערעור זה היא האם, כטענת המערער, זכויות הבנייה שרכשו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מידי רשות הפיתוח כללו את כל זכויות הבנייה בחלקה שעליה הוקם הבית המשותף, או שמא, כטענת המשיבים וכקביעת בית המשפט קמא, רק את זכויות הבנייה על שטח הגג הפנוי</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היקף זכויות הבנייה שרכשו </w:t>
      </w:r>
      <w:proofErr w:type="spellStart"/>
      <w:r w:rsidRPr="00D3771F">
        <w:rPr>
          <w:rFonts w:ascii="Arial" w:eastAsia="Times New Roman" w:hAnsi="Arial" w:cs="Arial"/>
          <w:color w:val="000000"/>
          <w:sz w:val="18"/>
          <w:szCs w:val="18"/>
          <w:rtl/>
        </w:rPr>
        <w:t>בנא</w:t>
      </w:r>
      <w:proofErr w:type="spellEnd"/>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10. </w:t>
      </w:r>
      <w:r w:rsidRPr="00D3771F">
        <w:rPr>
          <w:rFonts w:ascii="Arial" w:eastAsia="Times New Roman" w:hAnsi="Arial" w:cs="Arial"/>
          <w:color w:val="000000"/>
          <w:sz w:val="18"/>
          <w:szCs w:val="18"/>
          <w:rtl/>
        </w:rPr>
        <w:t xml:space="preserve">בית משפט זה קבע לא אחת כי המונח "זכות בנייה" או "אחוזי בנייה" משמעו "אפשרות ניצול הקרקע לבנייה על-פי הדין" (רע"א 2821/95 </w:t>
      </w:r>
      <w:proofErr w:type="spellStart"/>
      <w:r w:rsidRPr="00D3771F">
        <w:rPr>
          <w:rFonts w:ascii="Arial" w:eastAsia="Times New Roman" w:hAnsi="Arial" w:cs="Arial"/>
          <w:color w:val="000000"/>
          <w:sz w:val="18"/>
          <w:szCs w:val="18"/>
          <w:rtl/>
        </w:rPr>
        <w:t>לוסטיג</w:t>
      </w:r>
      <w:proofErr w:type="spellEnd"/>
      <w:r w:rsidRPr="00D3771F">
        <w:rPr>
          <w:rFonts w:ascii="Arial" w:eastAsia="Times New Roman" w:hAnsi="Arial" w:cs="Arial"/>
          <w:color w:val="000000"/>
          <w:sz w:val="18"/>
          <w:szCs w:val="18"/>
          <w:rtl/>
        </w:rPr>
        <w:t xml:space="preserve"> נ' </w:t>
      </w:r>
      <w:proofErr w:type="spellStart"/>
      <w:r w:rsidRPr="00D3771F">
        <w:rPr>
          <w:rFonts w:ascii="Arial" w:eastAsia="Times New Roman" w:hAnsi="Arial" w:cs="Arial"/>
          <w:color w:val="000000"/>
          <w:sz w:val="18"/>
          <w:szCs w:val="18"/>
          <w:rtl/>
        </w:rPr>
        <w:t>מייזלס</w:t>
      </w:r>
      <w:proofErr w:type="spellEnd"/>
      <w:r w:rsidRPr="00D3771F">
        <w:rPr>
          <w:rFonts w:ascii="Arial" w:eastAsia="Times New Roman" w:hAnsi="Arial" w:cs="Arial"/>
          <w:color w:val="000000"/>
          <w:sz w:val="18"/>
          <w:szCs w:val="18"/>
          <w:rtl/>
        </w:rPr>
        <w:t xml:space="preserve">, פ"ד </w:t>
      </w:r>
      <w:proofErr w:type="gramStart"/>
      <w:r w:rsidRPr="00D3771F">
        <w:rPr>
          <w:rFonts w:ascii="Arial" w:eastAsia="Times New Roman" w:hAnsi="Arial" w:cs="Arial"/>
          <w:color w:val="000000"/>
          <w:sz w:val="18"/>
          <w:szCs w:val="18"/>
          <w:rtl/>
        </w:rPr>
        <w:t>נ(</w:t>
      </w:r>
      <w:proofErr w:type="gramEnd"/>
      <w:r w:rsidRPr="00D3771F">
        <w:rPr>
          <w:rFonts w:ascii="Arial" w:eastAsia="Times New Roman" w:hAnsi="Arial" w:cs="Arial"/>
          <w:color w:val="000000"/>
          <w:sz w:val="18"/>
          <w:szCs w:val="18"/>
          <w:rtl/>
        </w:rPr>
        <w:t xml:space="preserve">1) 517, 527 (1996); ע"א 7394/03 נכסי </w:t>
      </w:r>
      <w:proofErr w:type="spellStart"/>
      <w:r w:rsidRPr="00D3771F">
        <w:rPr>
          <w:rFonts w:ascii="Arial" w:eastAsia="Times New Roman" w:hAnsi="Arial" w:cs="Arial"/>
          <w:color w:val="000000"/>
          <w:sz w:val="18"/>
          <w:szCs w:val="18"/>
          <w:rtl/>
        </w:rPr>
        <w:t>ר.א.ר.ד</w:t>
      </w:r>
      <w:proofErr w:type="spellEnd"/>
      <w:r w:rsidRPr="00D3771F">
        <w:rPr>
          <w:rFonts w:ascii="Arial" w:eastAsia="Times New Roman" w:hAnsi="Arial" w:cs="Arial"/>
          <w:color w:val="000000"/>
          <w:sz w:val="18"/>
          <w:szCs w:val="18"/>
          <w:rtl/>
        </w:rPr>
        <w:t xml:space="preserve"> חברה לבניין בע"מ נ' מנהל מס שבח מקרקעין, רחובות, בפסקה 14</w:t>
      </w:r>
      <w:r w:rsidRPr="00D3771F">
        <w:rPr>
          <w:rFonts w:ascii="Arial" w:eastAsia="Times New Roman" w:hAnsi="Arial" w:cs="Arial"/>
          <w:color w:val="000000"/>
          <w:sz w:val="18"/>
          <w:szCs w:val="18"/>
        </w:rPr>
        <w:t xml:space="preserve"> (6.12.2006)</w:t>
      </w:r>
      <w:r w:rsidRPr="00D3771F">
        <w:rPr>
          <w:rFonts w:ascii="Arial" w:eastAsia="Times New Roman" w:hAnsi="Arial" w:cs="Arial"/>
          <w:color w:val="000000"/>
          <w:sz w:val="18"/>
          <w:szCs w:val="18"/>
          <w:rtl/>
        </w:rPr>
        <w:t xml:space="preserve">). טיבה של זכות זו, בפרט כאשר מדובר בבתים משותפים, לא הוכרע בהלכה הפסוקה (ע"א 3451/07 קאופמן נ' כהן, בפסקה 9 (18.2.2010) (להלן: עניין קאופמן); ע"א 10322/03 ישעיהו נ' </w:t>
      </w:r>
      <w:proofErr w:type="spellStart"/>
      <w:r w:rsidRPr="00D3771F">
        <w:rPr>
          <w:rFonts w:ascii="Arial" w:eastAsia="Times New Roman" w:hAnsi="Arial" w:cs="Arial"/>
          <w:color w:val="000000"/>
          <w:sz w:val="18"/>
          <w:szCs w:val="18"/>
          <w:rtl/>
        </w:rPr>
        <w:t>שטרייכר</w:t>
      </w:r>
      <w:proofErr w:type="spellEnd"/>
      <w:r w:rsidRPr="00D3771F">
        <w:rPr>
          <w:rFonts w:ascii="Arial" w:eastAsia="Times New Roman" w:hAnsi="Arial" w:cs="Arial"/>
          <w:color w:val="000000"/>
          <w:sz w:val="18"/>
          <w:szCs w:val="18"/>
          <w:rtl/>
        </w:rPr>
        <w:t xml:space="preserve">, פ"ד נט(5) 449 (2005) (להלן: עניין </w:t>
      </w:r>
      <w:proofErr w:type="spellStart"/>
      <w:r w:rsidRPr="00D3771F">
        <w:rPr>
          <w:rFonts w:ascii="Arial" w:eastAsia="Times New Roman" w:hAnsi="Arial" w:cs="Arial"/>
          <w:color w:val="000000"/>
          <w:sz w:val="18"/>
          <w:szCs w:val="18"/>
          <w:rtl/>
        </w:rPr>
        <w:t>שטרייכר</w:t>
      </w:r>
      <w:proofErr w:type="spellEnd"/>
      <w:r w:rsidRPr="00D3771F">
        <w:rPr>
          <w:rFonts w:ascii="Arial" w:eastAsia="Times New Roman" w:hAnsi="Arial" w:cs="Arial"/>
          <w:color w:val="000000"/>
          <w:sz w:val="18"/>
          <w:szCs w:val="18"/>
          <w:rtl/>
        </w:rPr>
        <w:t xml:space="preserve">)), אך נפסק כי יש לה ערך כלכלי. כמו כן נפסק כי אף שזכויות בנייה אינן חלק מן הרכוש המשותף, הן מהוות נכס בבעלות משותפת של כלל בעלי הדירות בבית המשותף המחולק, כברירת מחדל, בין בעלי הדירות בהתאם לחלקם היחסי ברכוש המשותף (ע"א 11965/05 עזבון המנוח מרדכי קליין נ' שרון ואח', בפסקה 45 לחוות דעתה של השופטת (כתוארה אז) נאור (27.8.2009) (להלן: עניין קליין); עניין קאופמן, שם; ע"א 5043/96 גלמן נ' הררי, פ"ד נד(3) 389, 393 (2000) (להלן: עניין גלמן); ע"א 467/14 שטינברג נ' חברת </w:t>
      </w:r>
      <w:proofErr w:type="spellStart"/>
      <w:r w:rsidRPr="00D3771F">
        <w:rPr>
          <w:rFonts w:ascii="Arial" w:eastAsia="Times New Roman" w:hAnsi="Arial" w:cs="Arial"/>
          <w:color w:val="000000"/>
          <w:sz w:val="18"/>
          <w:szCs w:val="18"/>
          <w:rtl/>
        </w:rPr>
        <w:t>לילינבלום</w:t>
      </w:r>
      <w:proofErr w:type="spellEnd"/>
      <w:r w:rsidRPr="00D3771F">
        <w:rPr>
          <w:rFonts w:ascii="Arial" w:eastAsia="Times New Roman" w:hAnsi="Arial" w:cs="Arial"/>
          <w:color w:val="000000"/>
          <w:sz w:val="18"/>
          <w:szCs w:val="18"/>
          <w:rtl/>
        </w:rPr>
        <w:t xml:space="preserve"> 13, בפסקה 19 (9.9.2015) (להלן: עניין שטינברג)). עוד נפסק כי ניתן להתנות על זכויות בנייה בהסכמות חוזיות (עניין קליין, בפסקה 6 לפסק דיני; רע"א 2912/11 יקיר נ' לוי, בפסקה 15 (26.5.2011); עניין קאופמן, בפסקה 9; ע"א 432/83 מזרחי נ' חביב, פ"ד מ(4) 673, 680</w:t>
      </w:r>
      <w:r w:rsidRPr="00D3771F">
        <w:rPr>
          <w:rFonts w:ascii="Arial" w:eastAsia="Times New Roman" w:hAnsi="Arial" w:cs="Arial"/>
          <w:color w:val="000000"/>
          <w:sz w:val="18"/>
          <w:szCs w:val="18"/>
        </w:rPr>
        <w:t xml:space="preserve"> (1986)</w:t>
      </w:r>
      <w:r w:rsidRPr="00D3771F">
        <w:rPr>
          <w:rFonts w:ascii="Arial" w:eastAsia="Times New Roman" w:hAnsi="Arial" w:cs="Arial"/>
          <w:color w:val="000000"/>
          <w:sz w:val="18"/>
          <w:szCs w:val="18"/>
          <w:rtl/>
        </w:rPr>
        <w:t xml:space="preserve">), אשר מן הראוי כי תקבלנה ביטוי גם בתקנון הבית המשותף או בכל דרך נאותה אחרת, אך לשם כך נדרשת הסכמה מפורשת של בעלי הדירות בבית המשותף (ע"א 19/81 ביבי נ' </w:t>
      </w:r>
      <w:proofErr w:type="spellStart"/>
      <w:r w:rsidRPr="00D3771F">
        <w:rPr>
          <w:rFonts w:ascii="Arial" w:eastAsia="Times New Roman" w:hAnsi="Arial" w:cs="Arial"/>
          <w:color w:val="000000"/>
          <w:sz w:val="18"/>
          <w:szCs w:val="18"/>
          <w:rtl/>
        </w:rPr>
        <w:t>הורברט</w:t>
      </w:r>
      <w:proofErr w:type="spellEnd"/>
      <w:r w:rsidRPr="00D3771F">
        <w:rPr>
          <w:rFonts w:ascii="Arial" w:eastAsia="Times New Roman" w:hAnsi="Arial" w:cs="Arial"/>
          <w:color w:val="000000"/>
          <w:sz w:val="18"/>
          <w:szCs w:val="18"/>
          <w:rtl/>
        </w:rPr>
        <w:t xml:space="preserve">, פ"ד </w:t>
      </w:r>
      <w:proofErr w:type="spellStart"/>
      <w:r w:rsidRPr="00D3771F">
        <w:rPr>
          <w:rFonts w:ascii="Arial" w:eastAsia="Times New Roman" w:hAnsi="Arial" w:cs="Arial"/>
          <w:color w:val="000000"/>
          <w:sz w:val="18"/>
          <w:szCs w:val="18"/>
          <w:rtl/>
        </w:rPr>
        <w:t>לז</w:t>
      </w:r>
      <w:proofErr w:type="spellEnd"/>
      <w:r w:rsidRPr="00D3771F">
        <w:rPr>
          <w:rFonts w:ascii="Arial" w:eastAsia="Times New Roman" w:hAnsi="Arial" w:cs="Arial"/>
          <w:color w:val="000000"/>
          <w:sz w:val="18"/>
          <w:szCs w:val="18"/>
          <w:rtl/>
        </w:rPr>
        <w:t xml:space="preserve">(2) 497, 502 (1983) (להלן: עניין ביבי); עניין </w:t>
      </w:r>
      <w:proofErr w:type="spellStart"/>
      <w:r w:rsidRPr="00D3771F">
        <w:rPr>
          <w:rFonts w:ascii="Arial" w:eastAsia="Times New Roman" w:hAnsi="Arial" w:cs="Arial"/>
          <w:color w:val="000000"/>
          <w:sz w:val="18"/>
          <w:szCs w:val="18"/>
          <w:rtl/>
        </w:rPr>
        <w:t>שטרייכר</w:t>
      </w:r>
      <w:proofErr w:type="spellEnd"/>
      <w:r w:rsidRPr="00D3771F">
        <w:rPr>
          <w:rFonts w:ascii="Arial" w:eastAsia="Times New Roman" w:hAnsi="Arial" w:cs="Arial"/>
          <w:color w:val="000000"/>
          <w:sz w:val="18"/>
          <w:szCs w:val="18"/>
          <w:rtl/>
        </w:rPr>
        <w:t xml:space="preserve">, 466; ע"א 7156/96 </w:t>
      </w:r>
      <w:proofErr w:type="spellStart"/>
      <w:r w:rsidRPr="00D3771F">
        <w:rPr>
          <w:rFonts w:ascii="Arial" w:eastAsia="Times New Roman" w:hAnsi="Arial" w:cs="Arial"/>
          <w:color w:val="000000"/>
          <w:sz w:val="18"/>
          <w:szCs w:val="18"/>
          <w:rtl/>
        </w:rPr>
        <w:t>שואעי</w:t>
      </w:r>
      <w:proofErr w:type="spellEnd"/>
      <w:r w:rsidRPr="00D3771F">
        <w:rPr>
          <w:rFonts w:ascii="Arial" w:eastAsia="Times New Roman" w:hAnsi="Arial" w:cs="Arial"/>
          <w:color w:val="000000"/>
          <w:sz w:val="18"/>
          <w:szCs w:val="18"/>
          <w:rtl/>
        </w:rPr>
        <w:t xml:space="preserve"> נ' בכרך, פ"ד </w:t>
      </w:r>
      <w:proofErr w:type="spellStart"/>
      <w:r w:rsidRPr="00D3771F">
        <w:rPr>
          <w:rFonts w:ascii="Arial" w:eastAsia="Times New Roman" w:hAnsi="Arial" w:cs="Arial"/>
          <w:color w:val="000000"/>
          <w:sz w:val="18"/>
          <w:szCs w:val="18"/>
          <w:rtl/>
        </w:rPr>
        <w:t>נג</w:t>
      </w:r>
      <w:proofErr w:type="spellEnd"/>
      <w:r w:rsidRPr="00D3771F">
        <w:rPr>
          <w:rFonts w:ascii="Arial" w:eastAsia="Times New Roman" w:hAnsi="Arial" w:cs="Arial"/>
          <w:color w:val="000000"/>
          <w:sz w:val="18"/>
          <w:szCs w:val="18"/>
          <w:rtl/>
        </w:rPr>
        <w:t>(1) 469, 476</w:t>
      </w:r>
      <w:r w:rsidRPr="00D3771F">
        <w:rPr>
          <w:rFonts w:ascii="Arial" w:eastAsia="Times New Roman" w:hAnsi="Arial" w:cs="Arial"/>
          <w:color w:val="000000"/>
          <w:sz w:val="18"/>
          <w:szCs w:val="18"/>
        </w:rPr>
        <w:t xml:space="preserve"> (1999)</w:t>
      </w:r>
      <w:r w:rsidRPr="00D3771F">
        <w:rPr>
          <w:rFonts w:ascii="Arial" w:eastAsia="Times New Roman" w:hAnsi="Arial" w:cs="Arial"/>
          <w:color w:val="000000"/>
          <w:sz w:val="18"/>
          <w:szCs w:val="18"/>
          <w:rtl/>
        </w:rPr>
        <w:t xml:space="preserve">). מכל מקום, השאלה האם הוקנו זכויות בנייה לפלוני היא בעיקרה שאלה שבעובדה הטעונה הוכחה (עניין קאופמן, בפסקה 9; ע"א 136/63 </w:t>
      </w:r>
      <w:proofErr w:type="spellStart"/>
      <w:r w:rsidRPr="00D3771F">
        <w:rPr>
          <w:rFonts w:ascii="Arial" w:eastAsia="Times New Roman" w:hAnsi="Arial" w:cs="Arial"/>
          <w:color w:val="000000"/>
          <w:sz w:val="18"/>
          <w:szCs w:val="18"/>
          <w:rtl/>
        </w:rPr>
        <w:t>לווינהיים</w:t>
      </w:r>
      <w:proofErr w:type="spellEnd"/>
      <w:r w:rsidRPr="00D3771F">
        <w:rPr>
          <w:rFonts w:ascii="Arial" w:eastAsia="Times New Roman" w:hAnsi="Arial" w:cs="Arial"/>
          <w:color w:val="000000"/>
          <w:sz w:val="18"/>
          <w:szCs w:val="18"/>
          <w:rtl/>
        </w:rPr>
        <w:t xml:space="preserve"> נ' שוורצמן, פ"ד </w:t>
      </w:r>
      <w:proofErr w:type="spellStart"/>
      <w:r w:rsidRPr="00D3771F">
        <w:rPr>
          <w:rFonts w:ascii="Arial" w:eastAsia="Times New Roman" w:hAnsi="Arial" w:cs="Arial"/>
          <w:color w:val="000000"/>
          <w:sz w:val="18"/>
          <w:szCs w:val="18"/>
          <w:rtl/>
        </w:rPr>
        <w:t>יז</w:t>
      </w:r>
      <w:proofErr w:type="spellEnd"/>
      <w:r w:rsidRPr="00D3771F">
        <w:rPr>
          <w:rFonts w:ascii="Arial" w:eastAsia="Times New Roman" w:hAnsi="Arial" w:cs="Arial"/>
          <w:color w:val="000000"/>
          <w:sz w:val="18"/>
          <w:szCs w:val="18"/>
          <w:rtl/>
        </w:rPr>
        <w:t xml:space="preserve"> 1722, 1727 (1963); עניין ביבי, 502)</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proofErr w:type="gramStart"/>
      <w:r w:rsidRPr="00D3771F">
        <w:rPr>
          <w:rFonts w:ascii="Arial" w:eastAsia="Times New Roman" w:hAnsi="Arial" w:cs="Arial"/>
          <w:color w:val="000000"/>
          <w:sz w:val="18"/>
          <w:szCs w:val="18"/>
        </w:rPr>
        <w:t xml:space="preserve">11. </w:t>
      </w:r>
      <w:r w:rsidRPr="00D3771F">
        <w:rPr>
          <w:rFonts w:ascii="Arial" w:eastAsia="Times New Roman" w:hAnsi="Arial" w:cs="Arial"/>
          <w:color w:val="000000"/>
          <w:sz w:val="18"/>
          <w:szCs w:val="18"/>
          <w:rtl/>
        </w:rPr>
        <w:t xml:space="preserve">בענייננו, המשיבים חזרו בהם מן הטענה הגורפת שהעלו בבית המשפט המחוזי לפיה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לא רכשו זכויות בנייה כלשהן בבית המשותף וכפי שפורט לעיל, הם מבקשים עתה לאמץ את קביעותיו ומסקנותיו של בית המשפט קמא אשר הבחין בהקשר זה בין זכויות הבנייה על שטח הגג הפנוי ובין יתר זכויות הבנייה בחלקה </w:t>
      </w:r>
      <w:proofErr w:type="spellStart"/>
      <w:r w:rsidRPr="00D3771F">
        <w:rPr>
          <w:rFonts w:ascii="Arial" w:eastAsia="Times New Roman" w:hAnsi="Arial" w:cs="Arial"/>
          <w:color w:val="000000"/>
          <w:sz w:val="18"/>
          <w:szCs w:val="18"/>
          <w:rtl/>
        </w:rPr>
        <w:t>בקובעו</w:t>
      </w:r>
      <w:proofErr w:type="spellEnd"/>
      <w:r w:rsidRPr="00D3771F">
        <w:rPr>
          <w:rFonts w:ascii="Arial" w:eastAsia="Times New Roman" w:hAnsi="Arial" w:cs="Arial"/>
          <w:color w:val="000000"/>
          <w:sz w:val="18"/>
          <w:szCs w:val="18"/>
          <w:rtl/>
        </w:rPr>
        <w:t xml:space="preserve"> כי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 ובעקבותיהם המערער - רכשו את זכויות הבנייה בשטח הגג הפנוי זאת ותו לא</w:t>
      </w:r>
      <w:r w:rsidRPr="00D3771F">
        <w:rPr>
          <w:rFonts w:ascii="Arial" w:eastAsia="Times New Roman" w:hAnsi="Arial" w:cs="Arial"/>
          <w:color w:val="000000"/>
          <w:sz w:val="18"/>
          <w:szCs w:val="18"/>
        </w:rPr>
        <w:t>.</w:t>
      </w:r>
      <w:proofErr w:type="gramEnd"/>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בעניין זה דעתי כדעתו של בית המשפט המחוזי</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השתלשלות המשא ומתן בין רשות הפיתוח ובין הדיירים ובהם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כפי שהיא עולה ממכתב רשות הפיתוח, ממכתב עמידר וכן מההסכמים שנכרתו עם הדיירים אכן מלמדת כי רשות הפיתוח מכרה </w:t>
      </w:r>
      <w:proofErr w:type="spellStart"/>
      <w:r w:rsidRPr="00D3771F">
        <w:rPr>
          <w:rFonts w:ascii="Arial" w:eastAsia="Times New Roman" w:hAnsi="Arial" w:cs="Arial"/>
          <w:color w:val="000000"/>
          <w:sz w:val="18"/>
          <w:szCs w:val="18"/>
          <w:rtl/>
        </w:rPr>
        <w:t>לבנא</w:t>
      </w:r>
      <w:proofErr w:type="spellEnd"/>
      <w:r w:rsidRPr="00D3771F">
        <w:rPr>
          <w:rFonts w:ascii="Arial" w:eastAsia="Times New Roman" w:hAnsi="Arial" w:cs="Arial"/>
          <w:color w:val="000000"/>
          <w:sz w:val="18"/>
          <w:szCs w:val="18"/>
          <w:rtl/>
        </w:rPr>
        <w:t xml:space="preserve"> את זכות הבנייה על שטח הגג הפנוי בלבד ולא את מלוא זכויות הבנייה בבית המשותף. המערער מבקש להסתמך על מכתב רשות הפיתוח אשר נשלח לעמידר ובו נעשה שימוש במונח "זכויות לבניה נוספת" מבלי שאלה צומצמו לשטח הגג הפנוי בלבד. טענה זו נדחתה ובצדק על ידי בית המשפט המחוזי, אשר ציין בהקשר זה כי התיבה "זכויות לבניה נוספת" במכתב רשות הפיתוח מצויה בסעיף המתייחס </w:t>
      </w:r>
      <w:proofErr w:type="spellStart"/>
      <w:r w:rsidRPr="00D3771F">
        <w:rPr>
          <w:rFonts w:ascii="Arial" w:eastAsia="Times New Roman" w:hAnsi="Arial" w:cs="Arial"/>
          <w:color w:val="000000"/>
          <w:sz w:val="18"/>
          <w:szCs w:val="18"/>
          <w:rtl/>
        </w:rPr>
        <w:t>ל"ק</w:t>
      </w:r>
      <w:proofErr w:type="spellEnd"/>
      <w:r w:rsidRPr="00D3771F">
        <w:rPr>
          <w:rFonts w:ascii="Arial" w:eastAsia="Times New Roman" w:hAnsi="Arial" w:cs="Arial"/>
          <w:color w:val="000000"/>
          <w:sz w:val="18"/>
          <w:szCs w:val="18"/>
          <w:rtl/>
        </w:rPr>
        <w:t xml:space="preserve">. הגג" ובהמשך ישיר לשומת דירת הגג. ככל שנותר ספק בעניין זה בא מכתב עמידר אל הדיירים ומציין ב"רחל בתך הקטנה" כי מדובר ב"זכויות בניה נוספת על הגג" (ההדגשה לא במקור). תימוכין נוספים לכך </w:t>
      </w:r>
      <w:proofErr w:type="spellStart"/>
      <w:r w:rsidRPr="00D3771F">
        <w:rPr>
          <w:rFonts w:ascii="Arial" w:eastAsia="Times New Roman" w:hAnsi="Arial" w:cs="Arial"/>
          <w:color w:val="000000"/>
          <w:sz w:val="18"/>
          <w:szCs w:val="18"/>
          <w:rtl/>
        </w:rPr>
        <w:t>שבנא</w:t>
      </w:r>
      <w:proofErr w:type="spellEnd"/>
      <w:r w:rsidRPr="00D3771F">
        <w:rPr>
          <w:rFonts w:ascii="Arial" w:eastAsia="Times New Roman" w:hAnsi="Arial" w:cs="Arial"/>
          <w:color w:val="000000"/>
          <w:sz w:val="18"/>
          <w:szCs w:val="18"/>
          <w:rtl/>
        </w:rPr>
        <w:t xml:space="preserve"> לא רכשו את מלוא זכויות הבנייה בחלקה, ניתן למצוא גם בהסכם הדיירים ובהסכם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כך, בהסכם הדיירים תואר הממכר כ-"4 דירות של הנכס, פרט דירת גג וגג הפנוי", ובהסכם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תואר הממכר כ"דירת גג ושטח פנוי של הגג עם זכות בנייה", ועל פי פשוטו של מקרא נראה כי זכות הבנייה הנזכרת קשורה לשטח הגג הפנוי, הא ותו לא. זאת ועוד, הסכם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כלל אף הוא את סעיף 2 </w:t>
      </w:r>
      <w:proofErr w:type="spellStart"/>
      <w:r w:rsidRPr="00D3771F">
        <w:rPr>
          <w:rFonts w:ascii="Arial" w:eastAsia="Times New Roman" w:hAnsi="Arial" w:cs="Arial"/>
          <w:color w:val="000000"/>
          <w:sz w:val="18"/>
          <w:szCs w:val="18"/>
          <w:rtl/>
        </w:rPr>
        <w:t>המחריג</w:t>
      </w:r>
      <w:proofErr w:type="spellEnd"/>
      <w:r w:rsidRPr="00D3771F">
        <w:rPr>
          <w:rFonts w:ascii="Arial" w:eastAsia="Times New Roman" w:hAnsi="Arial" w:cs="Arial"/>
          <w:color w:val="000000"/>
          <w:sz w:val="18"/>
          <w:szCs w:val="18"/>
          <w:rtl/>
        </w:rPr>
        <w:t xml:space="preserve"> את כלל הרכוש המשותף מן ההסכם ומותיר אותו בבעלות רשות הפיתוח וכן את סעיף 14(א), שלמען הסדר הטוב נשוב ונביאו כלשונו</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proofErr w:type="gramStart"/>
      <w:r w:rsidRPr="00D3771F">
        <w:rPr>
          <w:rFonts w:ascii="Arial" w:eastAsia="Times New Roman" w:hAnsi="Arial" w:cs="Arial"/>
          <w:color w:val="000000"/>
          <w:sz w:val="18"/>
          <w:szCs w:val="18"/>
        </w:rPr>
        <w:t>"</w:t>
      </w:r>
      <w:r w:rsidRPr="00D3771F">
        <w:rPr>
          <w:rFonts w:ascii="Arial" w:eastAsia="Times New Roman" w:hAnsi="Arial" w:cs="Arial"/>
          <w:color w:val="000000"/>
          <w:sz w:val="18"/>
          <w:szCs w:val="18"/>
          <w:rtl/>
        </w:rPr>
        <w:t xml:space="preserve">המוכר יהיה רשאי, בכל עת שימצא לנכון, עד כמה שתכנית הבניה תאושר ע"י ועדת בנין ערים, להקים בעצמו ו/או על ידי אחרים ו/או לגרום להקמת קומה או קומות נוספות על גג או גגות הבית המשותף ולהוסיף על הקרקע הפנויה, בנין או בנינים, מבנה או מבנים, לצרכי דירה או דירות, בית או בתי עסק ולהשתמש בגג או בגגות של הבית ובקרקע הפנויה וברכוש המשותף </w:t>
      </w:r>
      <w:proofErr w:type="spellStart"/>
      <w:r w:rsidRPr="00D3771F">
        <w:rPr>
          <w:rFonts w:ascii="Arial" w:eastAsia="Times New Roman" w:hAnsi="Arial" w:cs="Arial"/>
          <w:color w:val="000000"/>
          <w:sz w:val="18"/>
          <w:szCs w:val="18"/>
          <w:rtl/>
        </w:rPr>
        <w:t>במדה</w:t>
      </w:r>
      <w:proofErr w:type="spellEnd"/>
      <w:r w:rsidRPr="00D3771F">
        <w:rPr>
          <w:rFonts w:ascii="Arial" w:eastAsia="Times New Roman" w:hAnsi="Arial" w:cs="Arial"/>
          <w:color w:val="000000"/>
          <w:sz w:val="18"/>
          <w:szCs w:val="18"/>
          <w:rtl/>
        </w:rPr>
        <w:t xml:space="preserve"> ויהיה צורך לכך לצרכי הבניה – </w:t>
      </w:r>
      <w:proofErr w:type="spellStart"/>
      <w:r w:rsidRPr="00D3771F">
        <w:rPr>
          <w:rFonts w:ascii="Arial" w:eastAsia="Times New Roman" w:hAnsi="Arial" w:cs="Arial"/>
          <w:color w:val="000000"/>
          <w:sz w:val="18"/>
          <w:szCs w:val="18"/>
          <w:rtl/>
        </w:rPr>
        <w:t>הכל</w:t>
      </w:r>
      <w:proofErr w:type="spellEnd"/>
      <w:r w:rsidRPr="00D3771F">
        <w:rPr>
          <w:rFonts w:ascii="Arial" w:eastAsia="Times New Roman" w:hAnsi="Arial" w:cs="Arial"/>
          <w:color w:val="000000"/>
          <w:sz w:val="18"/>
          <w:szCs w:val="18"/>
          <w:rtl/>
        </w:rPr>
        <w:t xml:space="preserve"> לפי ראות עיניו, והקונה ויתר בעלי הדירות והמחזיקים בבית המשותף לא יהיו רשאים להפריע או לעכב בעדו" [ההדגשות הוספו]</w:t>
      </w:r>
      <w:r w:rsidRPr="00D3771F">
        <w:rPr>
          <w:rFonts w:ascii="Arial" w:eastAsia="Times New Roman" w:hAnsi="Arial" w:cs="Arial"/>
          <w:color w:val="000000"/>
          <w:sz w:val="18"/>
          <w:szCs w:val="18"/>
        </w:rPr>
        <w:t>.</w:t>
      </w:r>
      <w:proofErr w:type="gramEnd"/>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מסעיף 14(א) עולה כי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ויתרו אף הם על זכויות בנייה, ככל שאינן זכויות בנייה על שטח הגג הפנוי, לטובת רשות הפיתוח. טענת המערער לפיה הוקנו </w:t>
      </w:r>
      <w:proofErr w:type="spellStart"/>
      <w:r w:rsidRPr="00D3771F">
        <w:rPr>
          <w:rFonts w:ascii="Arial" w:eastAsia="Times New Roman" w:hAnsi="Arial" w:cs="Arial"/>
          <w:color w:val="000000"/>
          <w:sz w:val="18"/>
          <w:szCs w:val="18"/>
          <w:rtl/>
        </w:rPr>
        <w:t>לבנא</w:t>
      </w:r>
      <w:proofErr w:type="spellEnd"/>
      <w:r w:rsidRPr="00D3771F">
        <w:rPr>
          <w:rFonts w:ascii="Arial" w:eastAsia="Times New Roman" w:hAnsi="Arial" w:cs="Arial"/>
          <w:color w:val="000000"/>
          <w:sz w:val="18"/>
          <w:szCs w:val="18"/>
          <w:rtl/>
        </w:rPr>
        <w:t xml:space="preserve"> כל זכויות הבנייה בבית המשותף וכי מכוחן הוא זכאי לבנות קומה רביעית על גג הבניין מעוררת קושי גם בהינתן העובדה שלבד מהצמדת שטח הגג הפנוי לדירתם, לא הוצמד לדירת הגג כל חלק אחר </w:t>
      </w:r>
      <w:r w:rsidRPr="00D3771F">
        <w:rPr>
          <w:rFonts w:ascii="Arial" w:eastAsia="Times New Roman" w:hAnsi="Arial" w:cs="Arial"/>
          <w:color w:val="000000"/>
          <w:sz w:val="18"/>
          <w:szCs w:val="18"/>
          <w:rtl/>
        </w:rPr>
        <w:lastRenderedPageBreak/>
        <w:t xml:space="preserve">ברכוש המשותף ובפרט הגג שעל דירת הגג, אשר עליו הוא מבקש לבנות את הקומה הרביעית ואותה, לשיטתו, ניתן היה לבנות כבר בשנות השישים עת נחתם הסכם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12. </w:t>
      </w:r>
      <w:r w:rsidRPr="00D3771F">
        <w:rPr>
          <w:rFonts w:ascii="Arial" w:eastAsia="Times New Roman" w:hAnsi="Arial" w:cs="Arial"/>
          <w:color w:val="000000"/>
          <w:sz w:val="18"/>
          <w:szCs w:val="18"/>
          <w:rtl/>
        </w:rPr>
        <w:t xml:space="preserve">טוען המערער כי סעיפים 2 ו-14(א) שבהסכמי המכר הם "סעיפים סטנדרטיים" לפיהם ברירת המחדל היא כי הזכויות בגג וזכויות הבנייה הן זכויות עצמאיות שיש </w:t>
      </w:r>
      <w:proofErr w:type="spellStart"/>
      <w:r w:rsidRPr="00D3771F">
        <w:rPr>
          <w:rFonts w:ascii="Arial" w:eastAsia="Times New Roman" w:hAnsi="Arial" w:cs="Arial"/>
          <w:color w:val="000000"/>
          <w:sz w:val="18"/>
          <w:szCs w:val="18"/>
          <w:rtl/>
        </w:rPr>
        <w:t>לרוכשן</w:t>
      </w:r>
      <w:proofErr w:type="spellEnd"/>
      <w:r w:rsidRPr="00D3771F">
        <w:rPr>
          <w:rFonts w:ascii="Arial" w:eastAsia="Times New Roman" w:hAnsi="Arial" w:cs="Arial"/>
          <w:color w:val="000000"/>
          <w:sz w:val="18"/>
          <w:szCs w:val="18"/>
          <w:rtl/>
        </w:rPr>
        <w:t xml:space="preserve"> בנפרד וכי ההיגיון הכלכלי ורצונה של רשות הפיתוח למקסם את רווחיה מוליכים אל המסקנה כי זו מכרה את מלוא זכויות הבנייה. עוד הוא טוען כי העובדה שרשות הפיתוח לא החריגה ב"תיאור הממכר" שבהסכם הדיירים את זכויות הבנייה, אינה מעלה ואינה מורידה משום שסעיף 14(א) להסכם מחריג אותן במפורש ומכתבי רשות הפיתוח ועמידר מגבילים, לשיטתו, רק את מיקום הבנייה</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טענות אלה דינן להידחות</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המערער לא הביא ראיות כלשהן לגבי היקף זכויות הבנייה בעת חתימת הסכמי המכר עם רשות הפיתוח, אך מטענות הצדדים הנתמכות גם בחוות דעתו של שמאי המקרקעין גיורא </w:t>
      </w:r>
      <w:proofErr w:type="spellStart"/>
      <w:r w:rsidRPr="00D3771F">
        <w:rPr>
          <w:rFonts w:ascii="Arial" w:eastAsia="Times New Roman" w:hAnsi="Arial" w:cs="Arial"/>
          <w:color w:val="000000"/>
          <w:sz w:val="18"/>
          <w:szCs w:val="18"/>
          <w:rtl/>
        </w:rPr>
        <w:t>אנגלהרט</w:t>
      </w:r>
      <w:proofErr w:type="spellEnd"/>
      <w:r w:rsidRPr="00D3771F">
        <w:rPr>
          <w:rFonts w:ascii="Arial" w:eastAsia="Times New Roman" w:hAnsi="Arial" w:cs="Arial"/>
          <w:color w:val="000000"/>
          <w:sz w:val="18"/>
          <w:szCs w:val="18"/>
          <w:rtl/>
        </w:rPr>
        <w:t xml:space="preserve"> (מש/11) מטעם המשיבים, עולה כי היקף זכויות הבנייה בשנת 1962 עת נכרתו הסכמי המכר זהה להיקף זכויות הבנייה הקיימות כיום (78%), וכי גם אם ינצל המערער את מלוא זכויות הבנייה על שטח הגג הפנוי תיוותרנה זכויות בנייה נוספות, אותן מבקשים הצדדים לנצל (המערער באמצעות הקמת קומה רביעית ואילו המשיבים באמצעות הרחבת דירותיהם ובנייה בחצר המשותפת). יוצא אפוא, שגם אם נניח לטובת המערער כי סעיפים 2 ו-14(א) להסכם הדיירים </w:t>
      </w:r>
      <w:proofErr w:type="spellStart"/>
      <w:r w:rsidRPr="00D3771F">
        <w:rPr>
          <w:rFonts w:ascii="Arial" w:eastAsia="Times New Roman" w:hAnsi="Arial" w:cs="Arial"/>
          <w:color w:val="000000"/>
          <w:sz w:val="18"/>
          <w:szCs w:val="18"/>
          <w:rtl/>
        </w:rPr>
        <w:t>החריגו</w:t>
      </w:r>
      <w:proofErr w:type="spellEnd"/>
      <w:r w:rsidRPr="00D3771F">
        <w:rPr>
          <w:rFonts w:ascii="Arial" w:eastAsia="Times New Roman" w:hAnsi="Arial" w:cs="Arial"/>
          <w:color w:val="000000"/>
          <w:sz w:val="18"/>
          <w:szCs w:val="18"/>
          <w:rtl/>
        </w:rPr>
        <w:t xml:space="preserve"> את מלוא זכויות הבנייה, חתימתו על אותם סעיפים ממש בשילוב העובדה כי לבד מזכויות הבנייה על שטח הגג הפנוי היו וישנן זכויות נוספות, יש בהן כדי לתמוך במסקנה שרשות הפיתוח לא העבירה </w:t>
      </w:r>
      <w:proofErr w:type="spellStart"/>
      <w:r w:rsidRPr="00D3771F">
        <w:rPr>
          <w:rFonts w:ascii="Arial" w:eastAsia="Times New Roman" w:hAnsi="Arial" w:cs="Arial"/>
          <w:color w:val="000000"/>
          <w:sz w:val="18"/>
          <w:szCs w:val="18"/>
          <w:rtl/>
        </w:rPr>
        <w:t>לבנא</w:t>
      </w:r>
      <w:proofErr w:type="spellEnd"/>
      <w:r w:rsidRPr="00D3771F">
        <w:rPr>
          <w:rFonts w:ascii="Arial" w:eastAsia="Times New Roman" w:hAnsi="Arial" w:cs="Arial"/>
          <w:color w:val="000000"/>
          <w:sz w:val="18"/>
          <w:szCs w:val="18"/>
          <w:rtl/>
        </w:rPr>
        <w:t xml:space="preserve"> זכויות אלה. טענת המערער כי מכתב רשות הפיתוח ומכתב עמידר מגבילים אך את מיקום הבנייה אינה מתיישבת עם לשונו הברורה של מכתב עמידר. אכן, כפי שטוען המערער, סכום התמורה הנקוב בהסכם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זהה לסכום המתקבל מחיבור המחירים שדרשה רשות הפיתוח בעבור דירת הגג וזכויות בנייה נוספות בהנחה בשיעור של כ-29%, אך בכך אין כדי להועיל לו שכן התמורה ששולמה היא כשלעצמה אינה מלמדת על כך שמדובר במכירת מלוא זכויות הבנייה כנטען. אדרבה, ממכתב רשות הפיתוח עולה כי השמאי הממשלתי גזר גזרה שווה בין ערך דירה בנויה בקומת הגג ובין שווי שטח הגג הפנוי בצירוף זכויות הבנייה עליו ובמילים אחרות, התשלום עבור שטח הגג הפנוי בצירוף זכויות הבנייה הוערך כשווה ערך לדירה אחת. לכל אלו יש להוסיף כי ככל </w:t>
      </w:r>
      <w:proofErr w:type="spellStart"/>
      <w:r w:rsidRPr="00D3771F">
        <w:rPr>
          <w:rFonts w:ascii="Arial" w:eastAsia="Times New Roman" w:hAnsi="Arial" w:cs="Arial"/>
          <w:color w:val="000000"/>
          <w:sz w:val="18"/>
          <w:szCs w:val="18"/>
          <w:rtl/>
        </w:rPr>
        <w:t>שבנא</w:t>
      </w:r>
      <w:proofErr w:type="spellEnd"/>
      <w:r w:rsidRPr="00D3771F">
        <w:rPr>
          <w:rFonts w:ascii="Arial" w:eastAsia="Times New Roman" w:hAnsi="Arial" w:cs="Arial"/>
          <w:color w:val="000000"/>
          <w:sz w:val="18"/>
          <w:szCs w:val="18"/>
          <w:rtl/>
        </w:rPr>
        <w:t xml:space="preserve"> או </w:t>
      </w:r>
      <w:proofErr w:type="spellStart"/>
      <w:r w:rsidRPr="00D3771F">
        <w:rPr>
          <w:rFonts w:ascii="Arial" w:eastAsia="Times New Roman" w:hAnsi="Arial" w:cs="Arial"/>
          <w:color w:val="000000"/>
          <w:sz w:val="18"/>
          <w:szCs w:val="18"/>
          <w:rtl/>
        </w:rPr>
        <w:t>חליפיהם</w:t>
      </w:r>
      <w:proofErr w:type="spellEnd"/>
      <w:r w:rsidRPr="00D3771F">
        <w:rPr>
          <w:rFonts w:ascii="Arial" w:eastAsia="Times New Roman" w:hAnsi="Arial" w:cs="Arial"/>
          <w:color w:val="000000"/>
          <w:sz w:val="18"/>
          <w:szCs w:val="18"/>
          <w:rtl/>
        </w:rPr>
        <w:t xml:space="preserve"> בדירת הגג סברו שמלוא זכויות הבנייה בבניין נמכרו להם (להבדיל מהזכויות בשטח הגג הפנוי), אין כל הסבר לכך שהם לא פעלו לרשום זכויות אלה בתקנון הבית המשותף או בכל דרך נאותה אחרת וזאת לאורך 52 שנים. אכן, גם זכויות הבנייה של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בשטח הגג הפנוי, שעליהן אין עוד עוררין, לא נרשמו אך לזכויות אלה היה עיגון חוזי מפורש בהסכמי המכר ובמכתב עמידר אשר נשלח לכלל הדיירים וכן בהיתר בנייה שהוצא לגבי שטח הגג הפנוי עוד בשנת 1979 אך לא מומש. לבסוף, יש לדחות את טענת המערער להסתמכות על מכתבו של </w:t>
      </w:r>
      <w:proofErr w:type="spellStart"/>
      <w:r w:rsidRPr="00D3771F">
        <w:rPr>
          <w:rFonts w:ascii="Arial" w:eastAsia="Times New Roman" w:hAnsi="Arial" w:cs="Arial"/>
          <w:color w:val="000000"/>
          <w:sz w:val="18"/>
          <w:szCs w:val="18"/>
          <w:rtl/>
        </w:rPr>
        <w:t>נאוי</w:t>
      </w:r>
      <w:proofErr w:type="spellEnd"/>
      <w:r w:rsidRPr="00D3771F">
        <w:rPr>
          <w:rFonts w:ascii="Arial" w:eastAsia="Times New Roman" w:hAnsi="Arial" w:cs="Arial"/>
          <w:color w:val="000000"/>
          <w:sz w:val="18"/>
          <w:szCs w:val="18"/>
          <w:rtl/>
        </w:rPr>
        <w:t xml:space="preserve">. בעניין זה מקובלת עליי קביעת בית המשפט המחוזי כי אין לייחס למכתב זה ערך ראייתי של ממש בהינתן העובדה שלא נטען וממילא לא הוכח כי הייתה </w:t>
      </w:r>
      <w:proofErr w:type="spellStart"/>
      <w:r w:rsidRPr="00D3771F">
        <w:rPr>
          <w:rFonts w:ascii="Arial" w:eastAsia="Times New Roman" w:hAnsi="Arial" w:cs="Arial"/>
          <w:color w:val="000000"/>
          <w:sz w:val="18"/>
          <w:szCs w:val="18"/>
          <w:rtl/>
        </w:rPr>
        <w:t>לנאוי</w:t>
      </w:r>
      <w:proofErr w:type="spellEnd"/>
      <w:r w:rsidRPr="00D3771F">
        <w:rPr>
          <w:rFonts w:ascii="Arial" w:eastAsia="Times New Roman" w:hAnsi="Arial" w:cs="Arial"/>
          <w:color w:val="000000"/>
          <w:sz w:val="18"/>
          <w:szCs w:val="18"/>
          <w:rtl/>
        </w:rPr>
        <w:t xml:space="preserve"> נגיעה או ידיעה אישית כלשהי ביחס להסכמים נשוא הערעור דנן ולנסיבות חתימתם. יתרה מכך לא הובהר ולא הוכח כי </w:t>
      </w:r>
      <w:proofErr w:type="spellStart"/>
      <w:r w:rsidRPr="00D3771F">
        <w:rPr>
          <w:rFonts w:ascii="Arial" w:eastAsia="Times New Roman" w:hAnsi="Arial" w:cs="Arial"/>
          <w:color w:val="000000"/>
          <w:sz w:val="18"/>
          <w:szCs w:val="18"/>
          <w:rtl/>
        </w:rPr>
        <w:t>נאוי</w:t>
      </w:r>
      <w:proofErr w:type="spellEnd"/>
      <w:r w:rsidRPr="00D3771F">
        <w:rPr>
          <w:rFonts w:ascii="Arial" w:eastAsia="Times New Roman" w:hAnsi="Arial" w:cs="Arial"/>
          <w:color w:val="000000"/>
          <w:sz w:val="18"/>
          <w:szCs w:val="18"/>
          <w:rtl/>
        </w:rPr>
        <w:t xml:space="preserve"> הוא הגורם המוסמך להציג את עמדתה המשפטית הרשמית של רשות מקרקעי ישראל לעניין מצבת הזכויות בחלקה</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סיכום ביניים - מן הטעמים שפורטו לעיל, אני סבורה כי אין מקום להתערב במסקנתו של בית המשפט המחוזי לפיה זכויות הבנייה שאותן רכשו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מרשות הפיתוח ושאותן רכש המערער בשנת 2008 מחליפיהם של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הן זכויות בנייה על שטח הגג הפנוי בלבד ואינן כוללות את מלוא זכויות הבנייה בבית המשותף</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למי שייכות זכויות הבנייה הנוספות</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13. </w:t>
      </w:r>
      <w:r w:rsidRPr="00D3771F">
        <w:rPr>
          <w:rFonts w:ascii="Arial" w:eastAsia="Times New Roman" w:hAnsi="Arial" w:cs="Arial"/>
          <w:color w:val="000000"/>
          <w:sz w:val="18"/>
          <w:szCs w:val="18"/>
          <w:rtl/>
        </w:rPr>
        <w:t>שאלה נפרדת היא השאלה למי שייכות יתר זכויות הבנייה בחלקה. בית המשפט המחוזי הגיע אל המסקנה כי זכויות אלה שייכות לכלל דיירי הבית המשותף על פי חלקם היחסי ברכוש המשותף. לגישתי, ניתן היה להסתפק במקרה דנן בדחיית תביעתו של המערער בלא צורך להוסיף ולהכריע בשאלה הנוספת המפורטת לעיל</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אכן, באין קביעה אחרת קונה אשר רוכש בעלות במקרקעין רוכש גם את הזכות לניצול השטח המותר לבנייה וככל שבבית משותף עסקינן, מחולקת זכות זו בהתאם לברירת המחדל בין כלל הדיירים לפי חלקם היחסי ברכוש המשותף (עניין שטינברג, בפסקה 19; ע"א 151/87 ש. ארצי, חברה להשקעות בע"מ נ' רחמני ואח', פ"ד מג(3) 489, 504</w:t>
      </w:r>
      <w:r w:rsidRPr="00D3771F">
        <w:rPr>
          <w:rFonts w:ascii="Arial" w:eastAsia="Times New Roman" w:hAnsi="Arial" w:cs="Arial"/>
          <w:color w:val="000000"/>
          <w:sz w:val="18"/>
          <w:szCs w:val="18"/>
        </w:rPr>
        <w:t xml:space="preserve"> (1998)</w:t>
      </w:r>
      <w:r w:rsidRPr="00D3771F">
        <w:rPr>
          <w:rFonts w:ascii="Arial" w:eastAsia="Times New Roman" w:hAnsi="Arial" w:cs="Arial"/>
          <w:color w:val="000000"/>
          <w:sz w:val="18"/>
          <w:szCs w:val="18"/>
          <w:rtl/>
        </w:rPr>
        <w:t>). עוד נפסק כי ויתור על זכות בנייה, כזכות הנובעת מזכות הבעלות בדירה בבית משותף, חייב שיהיה מפורש (עניין גלמן, 394). כזכור, תיאור הממכר בהסכם הדיירים אינו כולל את זכויות הבנייה וממילא אין הוא מוציא באופן מפורש את כלל זכויות הבנייה מבעלות הדיירים</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האם סעיף 14(א) להסכם מהווה ויתור מפורש כזה</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בית המשפט המחוזי לא ייחס משמעות רבה לשאלה זו ויצא, למעשה, מן ההנחה שלרשות הפיתוח אין עוד כל זכויות בבניין. בהתבסס על הנחה זו הוסיף בית המשפט המחוזי וקבע כי זכויות הבנייה הנוספות שייכות לכלל הדיירים. קביעה נחרצת זו מעוררת קושי נוכח האמור בסעיף 14(א) להסכמי המכר עם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והדיירים ובהינתן העובדה שרשות הפיתוח לא הייתה צד להליך ולא ניתנה לה ההזדמנות להציג את עמדתה בנדון. המערער והמשיבים כאחד, כל אחד מטעמיו, ביקשו להיאחז בהקשר זה במכתבו של </w:t>
      </w:r>
      <w:proofErr w:type="spellStart"/>
      <w:r w:rsidRPr="00D3771F">
        <w:rPr>
          <w:rFonts w:ascii="Arial" w:eastAsia="Times New Roman" w:hAnsi="Arial" w:cs="Arial"/>
          <w:color w:val="000000"/>
          <w:sz w:val="18"/>
          <w:szCs w:val="18"/>
          <w:rtl/>
        </w:rPr>
        <w:t>נאוי</w:t>
      </w:r>
      <w:proofErr w:type="spellEnd"/>
      <w:r w:rsidRPr="00D3771F">
        <w:rPr>
          <w:rFonts w:ascii="Arial" w:eastAsia="Times New Roman" w:hAnsi="Arial" w:cs="Arial"/>
          <w:color w:val="000000"/>
          <w:sz w:val="18"/>
          <w:szCs w:val="18"/>
          <w:rtl/>
        </w:rPr>
        <w:t xml:space="preserve"> ממנו עולה, לכאורה, כי לאחר עסקאות המכר משנת 1962 לא נותרו לרשות הפיתוח זכויות בניה בבית המשותף. כפי שצוין לעיל, אינני סבורה כי ניתן לראות במכתב </w:t>
      </w:r>
      <w:proofErr w:type="spellStart"/>
      <w:r w:rsidRPr="00D3771F">
        <w:rPr>
          <w:rFonts w:ascii="Arial" w:eastAsia="Times New Roman" w:hAnsi="Arial" w:cs="Arial"/>
          <w:color w:val="000000"/>
          <w:sz w:val="18"/>
          <w:szCs w:val="18"/>
          <w:rtl/>
        </w:rPr>
        <w:t>נאוי</w:t>
      </w:r>
      <w:proofErr w:type="spellEnd"/>
      <w:r w:rsidRPr="00D3771F">
        <w:rPr>
          <w:rFonts w:ascii="Arial" w:eastAsia="Times New Roman" w:hAnsi="Arial" w:cs="Arial"/>
          <w:color w:val="000000"/>
          <w:sz w:val="18"/>
          <w:szCs w:val="18"/>
          <w:rtl/>
        </w:rPr>
        <w:t xml:space="preserve"> מסמך המבטא עמדה מוסמכת של הרשות בכל הנוגע לזכויות במקרקעין הנדונים וככל שהדבר נוגע למשיבים הסתמכותם על מכתב </w:t>
      </w:r>
      <w:proofErr w:type="spellStart"/>
      <w:r w:rsidRPr="00D3771F">
        <w:rPr>
          <w:rFonts w:ascii="Arial" w:eastAsia="Times New Roman" w:hAnsi="Arial" w:cs="Arial"/>
          <w:color w:val="000000"/>
          <w:sz w:val="18"/>
          <w:szCs w:val="18"/>
          <w:rtl/>
        </w:rPr>
        <w:t>נאוי</w:t>
      </w:r>
      <w:proofErr w:type="spellEnd"/>
      <w:r w:rsidRPr="00D3771F">
        <w:rPr>
          <w:rFonts w:ascii="Arial" w:eastAsia="Times New Roman" w:hAnsi="Arial" w:cs="Arial"/>
          <w:color w:val="000000"/>
          <w:sz w:val="18"/>
          <w:szCs w:val="18"/>
          <w:rtl/>
        </w:rPr>
        <w:t xml:space="preserve"> בהקשר זה אינו אלא </w:t>
      </w:r>
      <w:proofErr w:type="spellStart"/>
      <w:r w:rsidRPr="00D3771F">
        <w:rPr>
          <w:rFonts w:ascii="Arial" w:eastAsia="Times New Roman" w:hAnsi="Arial" w:cs="Arial"/>
          <w:color w:val="000000"/>
          <w:sz w:val="18"/>
          <w:szCs w:val="18"/>
          <w:rtl/>
        </w:rPr>
        <w:t>נסיון</w:t>
      </w:r>
      <w:proofErr w:type="spellEnd"/>
      <w:r w:rsidRPr="00D3771F">
        <w:rPr>
          <w:rFonts w:ascii="Arial" w:eastAsia="Times New Roman" w:hAnsi="Arial" w:cs="Arial"/>
          <w:color w:val="000000"/>
          <w:sz w:val="18"/>
          <w:szCs w:val="18"/>
          <w:rtl/>
        </w:rPr>
        <w:t xml:space="preserve"> לאחוז את החבל משני קצותיו. על מנת לעמוד אל נכון על עמדתה של רשות הפיתוח יתכן שראוי היה לצרפה כבעלת דין, או למצער לפנות ולבקש עמדה מוסמכת מטעמה בסוגיה הנ"ל, אך הדבר לא נעשה</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lastRenderedPageBreak/>
        <w:t xml:space="preserve">14. </w:t>
      </w:r>
      <w:r w:rsidRPr="00D3771F">
        <w:rPr>
          <w:rFonts w:ascii="Arial" w:eastAsia="Times New Roman" w:hAnsi="Arial" w:cs="Arial"/>
          <w:color w:val="000000"/>
          <w:sz w:val="18"/>
          <w:szCs w:val="18"/>
          <w:rtl/>
        </w:rPr>
        <w:t xml:space="preserve">הנה כי כן - כל שניתן היה לקבוע על פי הראיות שהוצגו במקרה דנן הוא כי </w:t>
      </w:r>
      <w:proofErr w:type="spellStart"/>
      <w:r w:rsidRPr="00D3771F">
        <w:rPr>
          <w:rFonts w:ascii="Arial" w:eastAsia="Times New Roman" w:hAnsi="Arial" w:cs="Arial"/>
          <w:color w:val="000000"/>
          <w:sz w:val="18"/>
          <w:szCs w:val="18"/>
          <w:rtl/>
        </w:rPr>
        <w:t>בנא</w:t>
      </w:r>
      <w:proofErr w:type="spellEnd"/>
      <w:r w:rsidRPr="00D3771F">
        <w:rPr>
          <w:rFonts w:ascii="Arial" w:eastAsia="Times New Roman" w:hAnsi="Arial" w:cs="Arial"/>
          <w:color w:val="000000"/>
          <w:sz w:val="18"/>
          <w:szCs w:val="18"/>
          <w:rtl/>
        </w:rPr>
        <w:t xml:space="preserve"> רכש את זכויות הבנייה בשטח הגג הפנוי בלבד ולא את מלוא זכויות הבנייה בחלקה שבה מצוי הבית המשותף ועל כן, אלה הן גם זכויות הבנייה היחידות שרכש המערער. קביעה זו די בה לצורך דחיית תביעתו של המערער ודחיית </w:t>
      </w:r>
      <w:proofErr w:type="spellStart"/>
      <w:r w:rsidRPr="00D3771F">
        <w:rPr>
          <w:rFonts w:ascii="Arial" w:eastAsia="Times New Roman" w:hAnsi="Arial" w:cs="Arial"/>
          <w:color w:val="000000"/>
          <w:sz w:val="18"/>
          <w:szCs w:val="18"/>
          <w:rtl/>
        </w:rPr>
        <w:t>הסעדים</w:t>
      </w:r>
      <w:proofErr w:type="spellEnd"/>
      <w:r w:rsidRPr="00D3771F">
        <w:rPr>
          <w:rFonts w:ascii="Arial" w:eastAsia="Times New Roman" w:hAnsi="Arial" w:cs="Arial"/>
          <w:color w:val="000000"/>
          <w:sz w:val="18"/>
          <w:szCs w:val="18"/>
          <w:rtl/>
        </w:rPr>
        <w:t xml:space="preserve"> שלהם עתר במסגרתה. לעומת זאת, קביעתו הנוספת של בית המשפט המחוזי לפיה יתר זכויות הבנייה במקרקעין הנ"ל שייכות לכלל הדיירים, אינה נדרשת להכרעה בתביעת המערער ומשלא ניתן לרשות הפיתוח יומה בהקשר זה וזכויותיה עלולות להיפגע, לא ראיתי לאמצה</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סוף דבר</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Pr>
        <w:t xml:space="preserve">15. </w:t>
      </w:r>
      <w:r w:rsidRPr="00D3771F">
        <w:rPr>
          <w:rFonts w:ascii="Arial" w:eastAsia="Times New Roman" w:hAnsi="Arial" w:cs="Arial"/>
          <w:color w:val="000000"/>
          <w:sz w:val="18"/>
          <w:szCs w:val="18"/>
          <w:rtl/>
        </w:rPr>
        <w:t xml:space="preserve">אשר על כן, אציע לחבריי כי בכפוף לאמור בפסקה 14 לעיל, נדחה את הערעור ונחייב את המערער לשאת בהוצאות המשיבים ובשכר טרחת עורך דין בסך של </w:t>
      </w:r>
      <w:proofErr w:type="gramStart"/>
      <w:r w:rsidRPr="00D3771F">
        <w:rPr>
          <w:rFonts w:ascii="Arial" w:eastAsia="Times New Roman" w:hAnsi="Arial" w:cs="Arial"/>
          <w:color w:val="000000"/>
          <w:sz w:val="18"/>
          <w:szCs w:val="18"/>
          <w:rtl/>
        </w:rPr>
        <w:t>35,000 ש"</w:t>
      </w:r>
      <w:proofErr w:type="gramEnd"/>
      <w:r w:rsidRPr="00D3771F">
        <w:rPr>
          <w:rFonts w:ascii="Arial" w:eastAsia="Times New Roman" w:hAnsi="Arial" w:cs="Arial"/>
          <w:color w:val="000000"/>
          <w:sz w:val="18"/>
          <w:szCs w:val="18"/>
          <w:rtl/>
        </w:rPr>
        <w:t>ח</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ש ו פ ט ת</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השופט ע' </w:t>
      </w:r>
      <w:proofErr w:type="spellStart"/>
      <w:r w:rsidRPr="00D3771F">
        <w:rPr>
          <w:rFonts w:ascii="Arial" w:eastAsia="Times New Roman" w:hAnsi="Arial" w:cs="Arial"/>
          <w:color w:val="000000"/>
          <w:sz w:val="18"/>
          <w:szCs w:val="18"/>
          <w:rtl/>
        </w:rPr>
        <w:t>פוגלמן</w:t>
      </w:r>
      <w:proofErr w:type="spellEnd"/>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אני מסכים</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ש ו פ ט</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השופטת ע' ברון</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אני מסכימה</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ש ו פ ט ת</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הוחלט כאמור בפסק דינה של השופטת א' חיות</w:t>
      </w:r>
      <w:r w:rsidRPr="00D3771F">
        <w:rPr>
          <w:rFonts w:ascii="Arial" w:eastAsia="Times New Roman" w:hAnsi="Arial" w:cs="Arial"/>
          <w:color w:val="000000"/>
          <w:sz w:val="18"/>
          <w:szCs w:val="18"/>
        </w:rPr>
        <w:t>.</w:t>
      </w:r>
    </w:p>
    <w:p w:rsidR="00D3771F" w:rsidRPr="00D3771F" w:rsidRDefault="00D3771F" w:rsidP="00263F2B">
      <w:pPr>
        <w:bidi w:val="0"/>
        <w:spacing w:after="285"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 xml:space="preserve">ניתן היום, ‏כ"ה באלול </w:t>
      </w:r>
      <w:proofErr w:type="spellStart"/>
      <w:r w:rsidRPr="00D3771F">
        <w:rPr>
          <w:rFonts w:ascii="Arial" w:eastAsia="Times New Roman" w:hAnsi="Arial" w:cs="Arial"/>
          <w:color w:val="000000"/>
          <w:sz w:val="18"/>
          <w:szCs w:val="18"/>
          <w:rtl/>
        </w:rPr>
        <w:t>התשע"ו</w:t>
      </w:r>
      <w:proofErr w:type="spellEnd"/>
      <w:r w:rsidRPr="00D3771F">
        <w:rPr>
          <w:rFonts w:ascii="Arial" w:eastAsia="Times New Roman" w:hAnsi="Arial" w:cs="Arial"/>
          <w:color w:val="000000"/>
          <w:sz w:val="18"/>
          <w:szCs w:val="18"/>
          <w:rtl/>
        </w:rPr>
        <w:t xml:space="preserve"> (‏28.9.2016)</w:t>
      </w:r>
      <w:r w:rsidRPr="00D3771F">
        <w:rPr>
          <w:rFonts w:ascii="Arial" w:eastAsia="Times New Roman" w:hAnsi="Arial" w:cs="Arial"/>
          <w:color w:val="000000"/>
          <w:sz w:val="18"/>
          <w:szCs w:val="18"/>
        </w:rPr>
        <w:t>.</w:t>
      </w:r>
    </w:p>
    <w:p w:rsidR="00D3771F" w:rsidRPr="00D3771F" w:rsidRDefault="00D3771F" w:rsidP="00263F2B">
      <w:pPr>
        <w:bidi w:val="0"/>
        <w:spacing w:after="0" w:line="240" w:lineRule="auto"/>
        <w:jc w:val="right"/>
        <w:rPr>
          <w:rFonts w:ascii="Arial" w:eastAsia="Times New Roman" w:hAnsi="Arial" w:cs="Arial"/>
          <w:color w:val="000000"/>
          <w:sz w:val="18"/>
          <w:szCs w:val="18"/>
        </w:rPr>
      </w:pPr>
      <w:r w:rsidRPr="00D3771F">
        <w:rPr>
          <w:rFonts w:ascii="Arial" w:eastAsia="Times New Roman" w:hAnsi="Arial" w:cs="Arial"/>
          <w:color w:val="000000"/>
          <w:sz w:val="18"/>
          <w:szCs w:val="18"/>
          <w:rtl/>
        </w:rPr>
        <w:t>ש ו פ ט ת</w:t>
      </w:r>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tl/>
        </w:rPr>
        <w:t>ש ו פ ט</w:t>
      </w:r>
      <w:r w:rsidRPr="00D3771F">
        <w:rPr>
          <w:rFonts w:ascii="Arial" w:eastAsia="Times New Roman" w:hAnsi="Arial" w:cs="Arial"/>
          <w:color w:val="000000"/>
          <w:sz w:val="18"/>
          <w:szCs w:val="18"/>
        </w:rPr>
        <w:br/>
      </w:r>
      <w:r w:rsidRPr="00D3771F">
        <w:rPr>
          <w:rFonts w:ascii="Arial" w:eastAsia="Times New Roman" w:hAnsi="Arial" w:cs="Arial"/>
          <w:color w:val="000000"/>
          <w:sz w:val="18"/>
          <w:szCs w:val="18"/>
          <w:rtl/>
        </w:rPr>
        <w:t>ש ו פ ט ת</w:t>
      </w:r>
    </w:p>
    <w:p w:rsidR="00582AEB" w:rsidRPr="00D3771F" w:rsidRDefault="00263F2B" w:rsidP="00263F2B">
      <w:pPr>
        <w:jc w:val="right"/>
      </w:pPr>
    </w:p>
    <w:sectPr w:rsidR="00582AEB" w:rsidRPr="00D3771F" w:rsidSect="0094464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71F"/>
    <w:rsid w:val="00263F2B"/>
    <w:rsid w:val="006D379E"/>
    <w:rsid w:val="0094464E"/>
    <w:rsid w:val="00D377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D093D-3579-4E27-83FD-25E9EBA8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D3771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3771F"/>
    <w:rPr>
      <w:rFonts w:ascii="Times New Roman" w:eastAsia="Times New Roman" w:hAnsi="Times New Roman" w:cs="Times New Roman"/>
      <w:b/>
      <w:bCs/>
      <w:kern w:val="36"/>
      <w:sz w:val="48"/>
      <w:szCs w:val="48"/>
    </w:rPr>
  </w:style>
  <w:style w:type="character" w:styleId="Hyperlink">
    <w:name w:val="Hyperlink"/>
    <w:basedOn w:val="a0"/>
    <w:uiPriority w:val="99"/>
    <w:semiHidden/>
    <w:unhideWhenUsed/>
    <w:rsid w:val="00D3771F"/>
    <w:rPr>
      <w:color w:val="0000FF"/>
      <w:u w:val="single"/>
    </w:rPr>
  </w:style>
  <w:style w:type="paragraph" w:styleId="NormalWeb">
    <w:name w:val="Normal (Web)"/>
    <w:basedOn w:val="a"/>
    <w:uiPriority w:val="99"/>
    <w:semiHidden/>
    <w:unhideWhenUsed/>
    <w:rsid w:val="00D3771F"/>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014164">
      <w:bodyDiv w:val="1"/>
      <w:marLeft w:val="0"/>
      <w:marRight w:val="0"/>
      <w:marTop w:val="0"/>
      <w:marBottom w:val="0"/>
      <w:divBdr>
        <w:top w:val="none" w:sz="0" w:space="0" w:color="auto"/>
        <w:left w:val="none" w:sz="0" w:space="0" w:color="auto"/>
        <w:bottom w:val="none" w:sz="0" w:space="0" w:color="auto"/>
        <w:right w:val="none" w:sz="0" w:space="0" w:color="auto"/>
      </w:divBdr>
      <w:divsChild>
        <w:div w:id="1593782987">
          <w:marLeft w:val="0"/>
          <w:marRight w:val="300"/>
          <w:marTop w:val="225"/>
          <w:marBottom w:val="0"/>
          <w:divBdr>
            <w:top w:val="single" w:sz="6" w:space="8" w:color="C0C0C0"/>
            <w:left w:val="single" w:sz="6" w:space="9" w:color="C0C0C0"/>
            <w:bottom w:val="single" w:sz="6" w:space="8" w:color="C0C0C0"/>
            <w:right w:val="single" w:sz="6" w:space="9" w:color="C0C0C0"/>
          </w:divBdr>
        </w:div>
        <w:div w:id="1037313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uling.co.il/search?q=%22%d7%97%d7%a0%d7%94+%d7%91%d7%a0%d7%91%d7%a0%d7%99%d7%a9%d7%aa%d7%99%22" TargetMode="External"/><Relationship Id="rId4" Type="http://schemas.openxmlformats.org/officeDocument/2006/relationships/hyperlink" Target="http://www.ruling.co.il/search?q=%22%d7%93%d7%9f+%d7%9c%d7%95%d7%99%d7%98%2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3720</Words>
  <Characters>18605</Characters>
  <Application>Microsoft Office Word</Application>
  <DocSecurity>0</DocSecurity>
  <Lines>155</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cohen</dc:creator>
  <cp:keywords/>
  <dc:description/>
  <cp:lastModifiedBy>avi cohen</cp:lastModifiedBy>
  <cp:revision>2</cp:revision>
  <dcterms:created xsi:type="dcterms:W3CDTF">2017-07-26T17:09:00Z</dcterms:created>
  <dcterms:modified xsi:type="dcterms:W3CDTF">2017-07-26T17:17:00Z</dcterms:modified>
</cp:coreProperties>
</file>